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365F20">
        <w:rPr>
          <w:rFonts w:ascii="Times New Roman" w:hAnsi="Times New Roman" w:cs="Times New Roman"/>
        </w:rPr>
        <w:t>28</w:t>
      </w:r>
      <w:r w:rsidR="003B12AE" w:rsidRPr="0021081C">
        <w:rPr>
          <w:rFonts w:ascii="Times New Roman" w:hAnsi="Times New Roman" w:cs="Times New Roman"/>
        </w:rPr>
        <w:t>.</w:t>
      </w:r>
      <w:r w:rsidR="001B7611">
        <w:rPr>
          <w:rFonts w:ascii="Times New Roman" w:hAnsi="Times New Roman" w:cs="Times New Roman"/>
        </w:rPr>
        <w:t>0</w:t>
      </w:r>
      <w:r w:rsidR="00365F20">
        <w:rPr>
          <w:rFonts w:ascii="Times New Roman" w:hAnsi="Times New Roman" w:cs="Times New Roman"/>
        </w:rPr>
        <w:t>6</w:t>
      </w:r>
      <w:r w:rsidR="003B12AE" w:rsidRPr="0021081C">
        <w:rPr>
          <w:rFonts w:ascii="Times New Roman" w:hAnsi="Times New Roman" w:cs="Times New Roman"/>
        </w:rPr>
        <w:t>.202</w:t>
      </w:r>
      <w:r w:rsidR="001B7611">
        <w:rPr>
          <w:rFonts w:ascii="Times New Roman" w:hAnsi="Times New Roman" w:cs="Times New Roman"/>
        </w:rPr>
        <w:t>4</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Pr="00D42BF4" w:rsidRDefault="00F940CD" w:rsidP="00745DAE">
      <w:pPr>
        <w:pStyle w:val="a5"/>
        <w:numPr>
          <w:ilvl w:val="0"/>
          <w:numId w:val="2"/>
        </w:numPr>
        <w:spacing w:after="0"/>
        <w:ind w:left="284" w:hanging="284"/>
        <w:jc w:val="both"/>
        <w:rPr>
          <w:rFonts w:ascii="Times New Roman" w:hAnsi="Times New Roman" w:cs="Times New Roman"/>
        </w:rPr>
      </w:pPr>
      <w:r w:rsidRPr="00D42BF4">
        <w:rPr>
          <w:rFonts w:ascii="Times New Roman" w:hAnsi="Times New Roman" w:cs="Times New Roman"/>
        </w:rPr>
        <w:t>Активы паевого инвестиц</w:t>
      </w:r>
      <w:r w:rsidR="00737BAC" w:rsidRPr="00D42BF4">
        <w:rPr>
          <w:rFonts w:ascii="Times New Roman" w:hAnsi="Times New Roman" w:cs="Times New Roman"/>
        </w:rPr>
        <w:t xml:space="preserve">ионного фонда инвестированы в </w:t>
      </w:r>
      <w:r w:rsidR="00365F20">
        <w:rPr>
          <w:rFonts w:ascii="Times New Roman" w:hAnsi="Times New Roman" w:cs="Times New Roman"/>
        </w:rPr>
        <w:t>22</w:t>
      </w:r>
      <w:r w:rsidR="00F805BB" w:rsidRPr="00D42BF4">
        <w:rPr>
          <w:rFonts w:ascii="Times New Roman" w:hAnsi="Times New Roman" w:cs="Times New Roman"/>
        </w:rPr>
        <w:t xml:space="preserve"> </w:t>
      </w:r>
      <w:r w:rsidR="004C1ECC" w:rsidRPr="00D42BF4">
        <w:rPr>
          <w:rFonts w:ascii="Times New Roman" w:hAnsi="Times New Roman" w:cs="Times New Roman"/>
        </w:rPr>
        <w:t>по</w:t>
      </w:r>
      <w:r w:rsidR="00C6038F" w:rsidRPr="00D42BF4">
        <w:rPr>
          <w:rFonts w:ascii="Times New Roman" w:hAnsi="Times New Roman" w:cs="Times New Roman"/>
        </w:rPr>
        <w:t>зиции</w:t>
      </w:r>
      <w:r w:rsidR="00821E81" w:rsidRPr="00D42BF4">
        <w:rPr>
          <w:rFonts w:ascii="Times New Roman" w:hAnsi="Times New Roman" w:cs="Times New Roman"/>
        </w:rPr>
        <w:t>.</w:t>
      </w:r>
    </w:p>
    <w:p w:rsidR="00B606BD" w:rsidRPr="00D42BF4" w:rsidRDefault="00D11B91" w:rsidP="001F7ADA">
      <w:pPr>
        <w:pStyle w:val="a5"/>
        <w:numPr>
          <w:ilvl w:val="0"/>
          <w:numId w:val="2"/>
        </w:numPr>
        <w:spacing w:after="0"/>
        <w:ind w:left="357" w:hanging="357"/>
        <w:jc w:val="both"/>
        <w:rPr>
          <w:rFonts w:ascii="Times New Roman" w:hAnsi="Times New Roman" w:cs="Times New Roman"/>
        </w:rPr>
      </w:pPr>
      <w:r w:rsidRPr="00D42BF4">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5C3A28">
            <w:pPr>
              <w:jc w:val="center"/>
              <w:rPr>
                <w:sz w:val="20"/>
                <w:szCs w:val="20"/>
              </w:rPr>
            </w:pPr>
            <w:r>
              <w:rPr>
                <w:sz w:val="20"/>
                <w:szCs w:val="20"/>
              </w:rPr>
              <w:t>5</w:t>
            </w:r>
            <w:r w:rsidR="00FC3BC6">
              <w:rPr>
                <w:sz w:val="20"/>
                <w:szCs w:val="20"/>
              </w:rPr>
              <w:t>5</w:t>
            </w:r>
            <w:r w:rsidR="00C6038F" w:rsidRPr="0021081C">
              <w:rPr>
                <w:sz w:val="20"/>
                <w:szCs w:val="20"/>
              </w:rPr>
              <w:t>.</w:t>
            </w:r>
            <w:r w:rsidR="00365F20">
              <w:rPr>
                <w:sz w:val="20"/>
                <w:szCs w:val="20"/>
              </w:rPr>
              <w:t>59</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365F20">
            <w:pPr>
              <w:jc w:val="center"/>
              <w:rPr>
                <w:sz w:val="20"/>
                <w:szCs w:val="20"/>
              </w:rPr>
            </w:pPr>
            <w:r w:rsidRPr="0021081C">
              <w:rPr>
                <w:sz w:val="20"/>
                <w:szCs w:val="20"/>
              </w:rPr>
              <w:t>12</w:t>
            </w:r>
            <w:r w:rsidR="00CB5816" w:rsidRPr="0021081C">
              <w:rPr>
                <w:sz w:val="20"/>
                <w:szCs w:val="20"/>
              </w:rPr>
              <w:t>.</w:t>
            </w:r>
            <w:r w:rsidR="005C3A28">
              <w:rPr>
                <w:sz w:val="20"/>
                <w:szCs w:val="20"/>
              </w:rPr>
              <w:t>8</w:t>
            </w:r>
            <w:r w:rsidR="00365F20">
              <w:rPr>
                <w:sz w:val="20"/>
                <w:szCs w:val="20"/>
              </w:rPr>
              <w:t>6</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C3BC6">
            <w:pPr>
              <w:jc w:val="center"/>
              <w:rPr>
                <w:sz w:val="20"/>
                <w:szCs w:val="20"/>
              </w:rPr>
            </w:pPr>
            <w:r w:rsidRPr="0021081C">
              <w:rPr>
                <w:sz w:val="20"/>
                <w:szCs w:val="20"/>
              </w:rPr>
              <w:t>1</w:t>
            </w:r>
            <w:r w:rsidR="00FC3BC6">
              <w:rPr>
                <w:sz w:val="20"/>
                <w:szCs w:val="20"/>
              </w:rPr>
              <w:t>2</w:t>
            </w:r>
            <w:r w:rsidRPr="0021081C">
              <w:rPr>
                <w:sz w:val="20"/>
                <w:szCs w:val="20"/>
              </w:rPr>
              <w:t>.</w:t>
            </w:r>
            <w:r w:rsidR="00365F20">
              <w:rPr>
                <w:sz w:val="20"/>
                <w:szCs w:val="20"/>
              </w:rPr>
              <w:t>21</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365F20" w:rsidP="003756A5">
            <w:pPr>
              <w:spacing w:after="0" w:line="240" w:lineRule="auto"/>
              <w:rPr>
                <w:rFonts w:ascii="Times New Roman" w:hAnsi="Times New Roman" w:cs="Times New Roman"/>
                <w:sz w:val="20"/>
                <w:szCs w:val="20"/>
              </w:rPr>
            </w:pPr>
            <w:r w:rsidRPr="00365F20">
              <w:rPr>
                <w:rFonts w:ascii="Times New Roman" w:hAnsi="Times New Roman" w:cs="Times New Roman"/>
                <w:sz w:val="20"/>
                <w:szCs w:val="20"/>
              </w:rPr>
              <w:t>Остатки на р</w:t>
            </w:r>
            <w:r w:rsidR="00856548">
              <w:rPr>
                <w:rFonts w:ascii="Times New Roman" w:hAnsi="Times New Roman" w:cs="Times New Roman"/>
                <w:sz w:val="20"/>
                <w:szCs w:val="20"/>
              </w:rPr>
              <w:t>/</w:t>
            </w:r>
            <w:r w:rsidRPr="00365F20">
              <w:rPr>
                <w:rFonts w:ascii="Times New Roman" w:hAnsi="Times New Roman" w:cs="Times New Roman"/>
                <w:sz w:val="20"/>
                <w:szCs w:val="20"/>
              </w:rPr>
              <w:t>с</w:t>
            </w:r>
            <w:r w:rsidR="00856548">
              <w:rPr>
                <w:rFonts w:ascii="Times New Roman" w:hAnsi="Times New Roman" w:cs="Times New Roman"/>
                <w:sz w:val="20"/>
                <w:szCs w:val="20"/>
              </w:rPr>
              <w:t xml:space="preserve"> (денежные средс</w:t>
            </w:r>
            <w:r w:rsidR="003756A5">
              <w:rPr>
                <w:rFonts w:ascii="Times New Roman" w:hAnsi="Times New Roman" w:cs="Times New Roman"/>
                <w:sz w:val="20"/>
                <w:szCs w:val="20"/>
              </w:rPr>
              <w:t>т</w:t>
            </w:r>
            <w:r w:rsidR="00856548">
              <w:rPr>
                <w:rFonts w:ascii="Times New Roman" w:hAnsi="Times New Roman" w:cs="Times New Roman"/>
                <w:sz w:val="20"/>
                <w:szCs w:val="20"/>
              </w:rPr>
              <w:t>ва)</w:t>
            </w:r>
            <w:r w:rsidRPr="00365F20">
              <w:rPr>
                <w:rFonts w:ascii="Times New Roman" w:hAnsi="Times New Roman" w:cs="Times New Roman"/>
                <w:sz w:val="20"/>
                <w:szCs w:val="20"/>
              </w:rPr>
              <w:t xml:space="preserve"> </w:t>
            </w:r>
            <w:bookmarkStart w:id="0" w:name="_GoBack"/>
            <w:bookmarkEnd w:id="0"/>
          </w:p>
        </w:tc>
        <w:tc>
          <w:tcPr>
            <w:tcW w:w="2636" w:type="dxa"/>
            <w:shd w:val="clear" w:color="auto" w:fill="auto"/>
            <w:noWrap/>
            <w:hideMark/>
          </w:tcPr>
          <w:p w:rsidR="00F805BB" w:rsidRPr="0021081C" w:rsidRDefault="00365F20" w:rsidP="001B7611">
            <w:pPr>
              <w:jc w:val="center"/>
              <w:rPr>
                <w:sz w:val="20"/>
                <w:szCs w:val="20"/>
              </w:rPr>
            </w:pPr>
            <w:r>
              <w:rPr>
                <w:sz w:val="20"/>
                <w:szCs w:val="20"/>
              </w:rPr>
              <w:t>7,70</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4</w:t>
            </w:r>
            <w:r w:rsidR="00C6038F" w:rsidRPr="0021081C">
              <w:rPr>
                <w:sz w:val="20"/>
                <w:szCs w:val="20"/>
              </w:rPr>
              <w:t>.</w:t>
            </w:r>
            <w:r w:rsidR="00365F20">
              <w:rPr>
                <w:sz w:val="20"/>
                <w:szCs w:val="20"/>
              </w:rPr>
              <w:t>27</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365F2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65F20" w:rsidRPr="00F805BB" w:rsidRDefault="00365F20" w:rsidP="00365F2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365F20" w:rsidRPr="004A4C9C" w:rsidRDefault="00365F20" w:rsidP="00365F20">
            <w:pPr>
              <w:jc w:val="center"/>
            </w:pPr>
            <w:r w:rsidRPr="004A4C9C">
              <w:t>-0,62</w:t>
            </w:r>
          </w:p>
        </w:tc>
        <w:tc>
          <w:tcPr>
            <w:tcW w:w="1679" w:type="dxa"/>
            <w:tcBorders>
              <w:top w:val="single" w:sz="4" w:space="0" w:color="auto"/>
              <w:left w:val="nil"/>
              <w:bottom w:val="single" w:sz="4" w:space="0" w:color="auto"/>
              <w:right w:val="single" w:sz="4" w:space="0" w:color="auto"/>
            </w:tcBorders>
            <w:shd w:val="clear" w:color="auto" w:fill="auto"/>
          </w:tcPr>
          <w:p w:rsidR="00365F20" w:rsidRPr="00DF23D3" w:rsidRDefault="00365F20" w:rsidP="00365F20">
            <w:pPr>
              <w:jc w:val="center"/>
            </w:pPr>
            <w:r w:rsidRPr="00DF23D3">
              <w:t>-1,36</w:t>
            </w:r>
          </w:p>
        </w:tc>
      </w:tr>
      <w:tr w:rsidR="00365F2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65F20" w:rsidRPr="00F805BB" w:rsidRDefault="00365F20" w:rsidP="00365F2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365F20" w:rsidRPr="004A4C9C" w:rsidRDefault="00365F20" w:rsidP="00365F20">
            <w:pPr>
              <w:jc w:val="center"/>
            </w:pPr>
            <w:r w:rsidRPr="004A4C9C">
              <w:t>-0,24</w:t>
            </w:r>
          </w:p>
        </w:tc>
        <w:tc>
          <w:tcPr>
            <w:tcW w:w="1679" w:type="dxa"/>
            <w:tcBorders>
              <w:top w:val="single" w:sz="4" w:space="0" w:color="auto"/>
              <w:left w:val="nil"/>
              <w:bottom w:val="single" w:sz="4" w:space="0" w:color="auto"/>
              <w:right w:val="single" w:sz="4" w:space="0" w:color="auto"/>
            </w:tcBorders>
            <w:shd w:val="clear" w:color="auto" w:fill="auto"/>
          </w:tcPr>
          <w:p w:rsidR="00365F20" w:rsidRPr="00DF23D3" w:rsidRDefault="00365F20" w:rsidP="00365F20">
            <w:pPr>
              <w:jc w:val="center"/>
            </w:pPr>
            <w:r w:rsidRPr="00DF23D3">
              <w:t>-2,23</w:t>
            </w:r>
          </w:p>
        </w:tc>
      </w:tr>
      <w:tr w:rsidR="00365F2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65F20" w:rsidRPr="00F805BB" w:rsidRDefault="00365F20" w:rsidP="00365F2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365F20" w:rsidRPr="004A4C9C" w:rsidRDefault="00365F20" w:rsidP="00365F20">
            <w:pPr>
              <w:jc w:val="center"/>
            </w:pPr>
            <w:r w:rsidRPr="004A4C9C">
              <w:t>-8,30</w:t>
            </w:r>
          </w:p>
        </w:tc>
        <w:tc>
          <w:tcPr>
            <w:tcW w:w="1679" w:type="dxa"/>
            <w:tcBorders>
              <w:top w:val="single" w:sz="4" w:space="0" w:color="auto"/>
              <w:left w:val="nil"/>
              <w:bottom w:val="single" w:sz="4" w:space="0" w:color="auto"/>
              <w:right w:val="single" w:sz="4" w:space="0" w:color="auto"/>
            </w:tcBorders>
            <w:shd w:val="clear" w:color="auto" w:fill="auto"/>
          </w:tcPr>
          <w:p w:rsidR="00365F20" w:rsidRPr="00DF23D3" w:rsidRDefault="00365F20" w:rsidP="00365F20">
            <w:pPr>
              <w:jc w:val="center"/>
            </w:pPr>
            <w:r w:rsidRPr="00DF23D3">
              <w:t>-12,27</w:t>
            </w:r>
          </w:p>
        </w:tc>
      </w:tr>
      <w:tr w:rsidR="00365F2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65F20" w:rsidRPr="00F805BB" w:rsidRDefault="00365F20" w:rsidP="00365F2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365F20" w:rsidRPr="004A4C9C" w:rsidRDefault="00365F20" w:rsidP="00365F20">
            <w:pPr>
              <w:jc w:val="center"/>
            </w:pPr>
            <w:r w:rsidRPr="004A4C9C">
              <w:t>-20,71</w:t>
            </w:r>
          </w:p>
        </w:tc>
        <w:tc>
          <w:tcPr>
            <w:tcW w:w="1679" w:type="dxa"/>
            <w:tcBorders>
              <w:top w:val="single" w:sz="4" w:space="0" w:color="auto"/>
              <w:left w:val="nil"/>
              <w:bottom w:val="single" w:sz="4" w:space="0" w:color="auto"/>
              <w:right w:val="single" w:sz="4" w:space="0" w:color="auto"/>
            </w:tcBorders>
            <w:shd w:val="clear" w:color="auto" w:fill="auto"/>
          </w:tcPr>
          <w:p w:rsidR="00365F20" w:rsidRPr="00DF23D3" w:rsidRDefault="00365F20" w:rsidP="00365F20">
            <w:pPr>
              <w:jc w:val="center"/>
            </w:pPr>
            <w:r w:rsidRPr="00DF23D3">
              <w:t>-29,39</w:t>
            </w:r>
          </w:p>
        </w:tc>
      </w:tr>
      <w:tr w:rsidR="00365F20"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65F20" w:rsidRPr="00F805BB" w:rsidRDefault="00365F20" w:rsidP="00365F2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365F20" w:rsidRPr="004A4C9C" w:rsidRDefault="00365F20" w:rsidP="00365F20">
            <w:pPr>
              <w:jc w:val="center"/>
            </w:pPr>
            <w:r w:rsidRPr="004A4C9C">
              <w:t>-29,06</w:t>
            </w:r>
          </w:p>
        </w:tc>
        <w:tc>
          <w:tcPr>
            <w:tcW w:w="1679" w:type="dxa"/>
            <w:tcBorders>
              <w:top w:val="single" w:sz="4" w:space="0" w:color="auto"/>
              <w:left w:val="nil"/>
              <w:bottom w:val="single" w:sz="4" w:space="0" w:color="auto"/>
              <w:right w:val="single" w:sz="4" w:space="0" w:color="auto"/>
            </w:tcBorders>
            <w:shd w:val="clear" w:color="auto" w:fill="auto"/>
          </w:tcPr>
          <w:p w:rsidR="00365F20" w:rsidRPr="00DF23D3" w:rsidRDefault="00365F20" w:rsidP="00365F20">
            <w:pPr>
              <w:jc w:val="center"/>
            </w:pPr>
            <w:r w:rsidRPr="00DF23D3">
              <w:t>-59,10</w:t>
            </w:r>
          </w:p>
        </w:tc>
      </w:tr>
      <w:tr w:rsidR="00365F20" w:rsidRPr="00DC6881" w:rsidTr="00222BC6">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65F20" w:rsidRPr="00F805BB" w:rsidRDefault="00365F20" w:rsidP="00365F20">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365F20" w:rsidRDefault="00365F20" w:rsidP="00365F20">
            <w:pPr>
              <w:jc w:val="center"/>
            </w:pPr>
            <w:r w:rsidRPr="004A4C9C">
              <w:t>-53,76</w:t>
            </w:r>
          </w:p>
        </w:tc>
        <w:tc>
          <w:tcPr>
            <w:tcW w:w="1679" w:type="dxa"/>
            <w:tcBorders>
              <w:top w:val="single" w:sz="4" w:space="0" w:color="auto"/>
              <w:left w:val="nil"/>
              <w:bottom w:val="single" w:sz="4" w:space="0" w:color="auto"/>
              <w:right w:val="single" w:sz="4" w:space="0" w:color="auto"/>
            </w:tcBorders>
            <w:shd w:val="clear" w:color="auto" w:fill="auto"/>
          </w:tcPr>
          <w:p w:rsidR="00365F20" w:rsidRDefault="00365F20" w:rsidP="00365F20">
            <w:pPr>
              <w:jc w:val="center"/>
            </w:pPr>
            <w:r w:rsidRPr="00DF23D3">
              <w:t>-96,72</w:t>
            </w:r>
          </w:p>
        </w:tc>
      </w:tr>
    </w:tbl>
    <w:p w:rsidR="000F14CB" w:rsidRPr="00DC6881" w:rsidRDefault="000F14CB" w:rsidP="004B5AD6">
      <w:pPr>
        <w:spacing w:after="0"/>
        <w:rPr>
          <w:rFonts w:ascii="Times New Roman" w:hAnsi="Times New Roman" w:cs="Times New Roman"/>
        </w:rPr>
      </w:pPr>
    </w:p>
    <w:p w:rsidR="00DF650D" w:rsidRPr="00DC6881" w:rsidRDefault="001B7611" w:rsidP="004B5AD6">
      <w:pPr>
        <w:spacing w:after="0"/>
        <w:rPr>
          <w:rFonts w:ascii="Times New Roman" w:hAnsi="Times New Roman" w:cs="Times New Roman"/>
        </w:rPr>
      </w:pPr>
      <w:r>
        <w:rPr>
          <w:noProof/>
          <w:lang w:eastAsia="ru-RU"/>
        </w:rPr>
        <w:drawing>
          <wp:inline distT="0" distB="0" distL="0" distR="0" wp14:anchorId="54889C39" wp14:editId="3BD1CC2E">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365F20">
      <w:pPr>
        <w:pStyle w:val="a5"/>
        <w:numPr>
          <w:ilvl w:val="0"/>
          <w:numId w:val="3"/>
        </w:numPr>
        <w:tabs>
          <w:tab w:val="left" w:pos="993"/>
        </w:tabs>
        <w:spacing w:after="0"/>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365F20" w:rsidRPr="00365F20">
        <w:rPr>
          <w:rFonts w:ascii="Times New Roman" w:hAnsi="Times New Roman" w:cs="Times New Roman"/>
        </w:rPr>
        <w:t>809 014 931,17</w:t>
      </w:r>
      <w:r w:rsidR="005C3A28">
        <w:rPr>
          <w:rFonts w:ascii="Times New Roman" w:hAnsi="Times New Roman" w:cs="Times New Roman"/>
        </w:rPr>
        <w:t xml:space="preserve"> </w:t>
      </w:r>
      <w:r w:rsidRPr="0021081C">
        <w:rPr>
          <w:rFonts w:ascii="Times New Roman" w:hAnsi="Times New Roman" w:cs="Times New Roman"/>
        </w:rPr>
        <w:t>руб.</w:t>
      </w:r>
    </w:p>
    <w:p w:rsidR="008E283C" w:rsidRDefault="00B231C8" w:rsidP="00365F20">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365F20" w:rsidRPr="00365F20">
        <w:rPr>
          <w:rFonts w:ascii="Times New Roman" w:hAnsi="Times New Roman" w:cs="Times New Roman"/>
        </w:rPr>
        <w:t>137 257,91</w:t>
      </w:r>
      <w:r w:rsidR="00365F20">
        <w:rPr>
          <w:rFonts w:ascii="Times New Roman" w:hAnsi="Times New Roman" w:cs="Times New Roman"/>
        </w:rPr>
        <w:t xml:space="preserve">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224CDA" w:rsidRDefault="009B4EE8"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Управляющая компания ООО «УК «Навигатор», лицензия </w:t>
      </w:r>
      <w:r w:rsidR="003B6DE1" w:rsidRPr="00224CDA">
        <w:rPr>
          <w:rFonts w:ascii="Times New Roman" w:hAnsi="Times New Roman" w:cs="Times New Roman"/>
        </w:rPr>
        <w:t>№21-000-1-00102 от 24.12.2002</w:t>
      </w:r>
      <w:r w:rsidRPr="00224CDA">
        <w:rPr>
          <w:rFonts w:ascii="Times New Roman" w:hAnsi="Times New Roman" w:cs="Times New Roman"/>
        </w:rPr>
        <w:t xml:space="preserve">, сайт www.am-navigator.ru, телефон 8 (495) 213 18 37, </w:t>
      </w:r>
      <w:r w:rsidR="00224CDA" w:rsidRPr="00224CDA">
        <w:rPr>
          <w:rFonts w:ascii="Times New Roman" w:hAnsi="Times New Roman" w:cs="Times New Roman"/>
        </w:rPr>
        <w:t xml:space="preserve">адрес: 115114, </w:t>
      </w:r>
      <w:proofErr w:type="spellStart"/>
      <w:r w:rsidR="00224CDA" w:rsidRPr="00224CDA">
        <w:rPr>
          <w:rFonts w:ascii="Times New Roman" w:hAnsi="Times New Roman" w:cs="Times New Roman"/>
        </w:rPr>
        <w:t>г.Москва</w:t>
      </w:r>
      <w:proofErr w:type="spellEnd"/>
      <w:r w:rsidR="00224CDA" w:rsidRPr="00224CDA">
        <w:rPr>
          <w:rFonts w:ascii="Times New Roman" w:hAnsi="Times New Roman" w:cs="Times New Roman"/>
        </w:rPr>
        <w:t xml:space="preserve">, </w:t>
      </w:r>
      <w:proofErr w:type="spellStart"/>
      <w:r w:rsidR="00224CDA" w:rsidRPr="00224CDA">
        <w:rPr>
          <w:rFonts w:ascii="Times New Roman" w:hAnsi="Times New Roman" w:cs="Times New Roman"/>
        </w:rPr>
        <w:t>вн.тер.г</w:t>
      </w:r>
      <w:proofErr w:type="spellEnd"/>
      <w:r w:rsidR="00224CDA" w:rsidRPr="00224CDA">
        <w:rPr>
          <w:rFonts w:ascii="Times New Roman" w:hAnsi="Times New Roman" w:cs="Times New Roman"/>
        </w:rPr>
        <w:t xml:space="preserve">. муниципальный округ </w:t>
      </w:r>
      <w:proofErr w:type="spellStart"/>
      <w:r w:rsidR="00224CDA" w:rsidRPr="00224CDA">
        <w:rPr>
          <w:rFonts w:ascii="Times New Roman" w:hAnsi="Times New Roman" w:cs="Times New Roman"/>
        </w:rPr>
        <w:t>Даниловский</w:t>
      </w:r>
      <w:proofErr w:type="spellEnd"/>
      <w:r w:rsidR="00224CDA" w:rsidRPr="00224CDA">
        <w:rPr>
          <w:rFonts w:ascii="Times New Roman" w:hAnsi="Times New Roman" w:cs="Times New Roman"/>
        </w:rPr>
        <w:t xml:space="preserve">, ул. </w:t>
      </w:r>
      <w:proofErr w:type="spellStart"/>
      <w:r w:rsidR="00224CDA" w:rsidRPr="00224CDA">
        <w:rPr>
          <w:rFonts w:ascii="Times New Roman" w:hAnsi="Times New Roman" w:cs="Times New Roman"/>
        </w:rPr>
        <w:t>Кожевническая</w:t>
      </w:r>
      <w:proofErr w:type="spellEnd"/>
      <w:r w:rsidR="00224CDA" w:rsidRPr="00224CDA">
        <w:rPr>
          <w:rFonts w:ascii="Times New Roman" w:hAnsi="Times New Roman" w:cs="Times New Roman"/>
        </w:rPr>
        <w:t>, д. 14,стр. 5</w:t>
      </w:r>
    </w:p>
    <w:p w:rsidR="00A22330" w:rsidRPr="00224CDA" w:rsidRDefault="00746CDF" w:rsidP="00224CDA">
      <w:pPr>
        <w:pStyle w:val="a5"/>
        <w:numPr>
          <w:ilvl w:val="0"/>
          <w:numId w:val="7"/>
        </w:numPr>
        <w:spacing w:after="0"/>
        <w:ind w:left="426"/>
        <w:jc w:val="both"/>
        <w:rPr>
          <w:rFonts w:ascii="Times New Roman" w:hAnsi="Times New Roman" w:cs="Times New Roman"/>
        </w:rPr>
      </w:pPr>
      <w:r w:rsidRPr="00224CDA">
        <w:rPr>
          <w:rFonts w:ascii="Times New Roman" w:hAnsi="Times New Roman" w:cs="Times New Roman"/>
        </w:rPr>
        <w:t xml:space="preserve">Специализированный депозитарий </w:t>
      </w:r>
      <w:r w:rsidR="00520326" w:rsidRPr="00224CDA">
        <w:rPr>
          <w:rFonts w:ascii="Times New Roman" w:hAnsi="Times New Roman" w:cs="Times New Roman"/>
        </w:rPr>
        <w:t xml:space="preserve">АО «НРК - Р.О.С.Т.» </w:t>
      </w:r>
      <w:r w:rsidRPr="00224CDA">
        <w:rPr>
          <w:rFonts w:ascii="Times New Roman" w:hAnsi="Times New Roman" w:cs="Times New Roman"/>
        </w:rPr>
        <w:t xml:space="preserve">сайт </w:t>
      </w:r>
      <w:r w:rsidR="00520326" w:rsidRPr="00224CDA">
        <w:rPr>
          <w:rStyle w:val="a4"/>
          <w:rFonts w:ascii="Times New Roman" w:hAnsi="Times New Roman" w:cs="Times New Roman"/>
        </w:rPr>
        <w:t>rrost.ru</w:t>
      </w:r>
      <w:r w:rsidRPr="00224CDA">
        <w:rPr>
          <w:rFonts w:ascii="Times New Roman" w:hAnsi="Times New Roman" w:cs="Times New Roman"/>
        </w:rPr>
        <w:t>.</w:t>
      </w:r>
    </w:p>
    <w:p w:rsidR="00746CDF" w:rsidRPr="00A22330" w:rsidRDefault="00A22330" w:rsidP="00224CDA">
      <w:pPr>
        <w:pStyle w:val="a5"/>
        <w:numPr>
          <w:ilvl w:val="0"/>
          <w:numId w:val="7"/>
        </w:numPr>
        <w:spacing w:after="0"/>
        <w:ind w:left="426"/>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D5B28"/>
    <w:rsid w:val="001E4EBB"/>
    <w:rsid w:val="001F7ADA"/>
    <w:rsid w:val="00206B90"/>
    <w:rsid w:val="0021081C"/>
    <w:rsid w:val="00224CDA"/>
    <w:rsid w:val="002349E2"/>
    <w:rsid w:val="0024130B"/>
    <w:rsid w:val="0024207D"/>
    <w:rsid w:val="00242225"/>
    <w:rsid w:val="00246B16"/>
    <w:rsid w:val="00261266"/>
    <w:rsid w:val="00275DA3"/>
    <w:rsid w:val="00282979"/>
    <w:rsid w:val="002929B2"/>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47AAD"/>
    <w:rsid w:val="00350D15"/>
    <w:rsid w:val="003531F8"/>
    <w:rsid w:val="00355549"/>
    <w:rsid w:val="00356853"/>
    <w:rsid w:val="00363F20"/>
    <w:rsid w:val="00365F20"/>
    <w:rsid w:val="00371B38"/>
    <w:rsid w:val="00372EDE"/>
    <w:rsid w:val="003756A5"/>
    <w:rsid w:val="003875FC"/>
    <w:rsid w:val="003A2EDF"/>
    <w:rsid w:val="003A4DC4"/>
    <w:rsid w:val="003B12AE"/>
    <w:rsid w:val="003B6DE1"/>
    <w:rsid w:val="003C1733"/>
    <w:rsid w:val="003C7E06"/>
    <w:rsid w:val="003D6EB9"/>
    <w:rsid w:val="003E4CFC"/>
    <w:rsid w:val="003F11DC"/>
    <w:rsid w:val="00400734"/>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72DE"/>
    <w:rsid w:val="005F45B6"/>
    <w:rsid w:val="00616197"/>
    <w:rsid w:val="00620129"/>
    <w:rsid w:val="00646AE3"/>
    <w:rsid w:val="006501A4"/>
    <w:rsid w:val="00670273"/>
    <w:rsid w:val="006B2C1A"/>
    <w:rsid w:val="006B2DF8"/>
    <w:rsid w:val="00707FE5"/>
    <w:rsid w:val="00725FC0"/>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34E24"/>
    <w:rsid w:val="00A6551F"/>
    <w:rsid w:val="00A81C36"/>
    <w:rsid w:val="00A820AA"/>
    <w:rsid w:val="00A82EDB"/>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4281"/>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27635"/>
    <w:rsid w:val="00D42BF4"/>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3283C"/>
    <w:rsid w:val="00F41F51"/>
    <w:rsid w:val="00F424CC"/>
    <w:rsid w:val="00F4746E"/>
    <w:rsid w:val="00F56131"/>
    <w:rsid w:val="00F65E19"/>
    <w:rsid w:val="00F805BB"/>
    <w:rsid w:val="00F85820"/>
    <w:rsid w:val="00F940CD"/>
    <w:rsid w:val="00FB0337"/>
    <w:rsid w:val="00FB354B"/>
    <w:rsid w:val="00FB3861"/>
    <w:rsid w:val="00FB50E8"/>
    <w:rsid w:val="00FC3BC6"/>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ser>
        <c:dLbls>
          <c:showLegendKey val="0"/>
          <c:showVal val="0"/>
          <c:showCatName val="0"/>
          <c:showSerName val="0"/>
          <c:showPercent val="0"/>
          <c:showBubbleSize val="0"/>
        </c:dLbls>
        <c:gapWidth val="219"/>
        <c:overlap val="-27"/>
        <c:axId val="466774416"/>
        <c:axId val="466772848"/>
      </c:barChart>
      <c:catAx>
        <c:axId val="46677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6772848"/>
        <c:crosses val="autoZero"/>
        <c:auto val="1"/>
        <c:lblAlgn val="ctr"/>
        <c:lblOffset val="100"/>
        <c:noMultiLvlLbl val="0"/>
      </c:catAx>
      <c:valAx>
        <c:axId val="466772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677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C09D-3EAC-4D40-971C-B37A9108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Попов Дмитрий Вячеславович</cp:lastModifiedBy>
  <cp:revision>5</cp:revision>
  <dcterms:created xsi:type="dcterms:W3CDTF">2024-07-05T07:44:00Z</dcterms:created>
  <dcterms:modified xsi:type="dcterms:W3CDTF">2024-07-05T10:24:00Z</dcterms:modified>
</cp:coreProperties>
</file>