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BC0FA0" w14:textId="77777777" w:rsidR="009F5038" w:rsidRPr="002B077D" w:rsidRDefault="009F5038"/>
    <w:tbl>
      <w:tblPr>
        <w:tblpPr w:leftFromText="180" w:rightFromText="180" w:vertAnchor="text" w:horzAnchor="margin" w:tblpX="-886" w:tblpY="430"/>
        <w:tblW w:w="10393" w:type="dxa"/>
        <w:tblLayout w:type="fixed"/>
        <w:tblLook w:val="04A0" w:firstRow="1" w:lastRow="0" w:firstColumn="1" w:lastColumn="0" w:noHBand="0" w:noVBand="1"/>
      </w:tblPr>
      <w:tblGrid>
        <w:gridCol w:w="5245"/>
        <w:gridCol w:w="5148"/>
      </w:tblGrid>
      <w:tr w:rsidR="00B43B66" w:rsidRPr="00BE536E" w14:paraId="35C1DDA3" w14:textId="77777777" w:rsidTr="00AB5207">
        <w:trPr>
          <w:trHeight w:val="1275"/>
        </w:trPr>
        <w:tc>
          <w:tcPr>
            <w:tcW w:w="5245" w:type="dxa"/>
          </w:tcPr>
          <w:p w14:paraId="09B0313D" w14:textId="77777777" w:rsidR="00C60710" w:rsidRPr="00BE536E" w:rsidRDefault="00C60710" w:rsidP="00AB5207">
            <w:pPr>
              <w:pStyle w:val="ac"/>
              <w:spacing w:line="360" w:lineRule="auto"/>
              <w:rPr>
                <w:rFonts w:ascii="Verdana" w:hAnsi="Verdana" w:cs="Arial"/>
                <w:b/>
                <w:bCs/>
                <w:iCs/>
                <w:caps/>
                <w:color w:val="943634"/>
              </w:rPr>
            </w:pPr>
            <w:r w:rsidRPr="00BE536E">
              <w:rPr>
                <w:rFonts w:ascii="Verdana" w:hAnsi="Verdana" w:cs="Arial"/>
                <w:b/>
                <w:bCs/>
                <w:iCs/>
                <w:caps/>
                <w:color w:val="943634"/>
              </w:rPr>
              <w:t>«СОГЛАСОВАНО»</w:t>
            </w:r>
          </w:p>
          <w:p w14:paraId="475DA8E8" w14:textId="6FFAEB71" w:rsidR="00B43B66" w:rsidRPr="00BE536E" w:rsidRDefault="00C60710" w:rsidP="00AB5207">
            <w:pPr>
              <w:pStyle w:val="ac"/>
              <w:spacing w:line="360" w:lineRule="auto"/>
              <w:rPr>
                <w:rFonts w:ascii="Verdana" w:hAnsi="Verdana"/>
              </w:rPr>
            </w:pPr>
            <w:r w:rsidRPr="00BE536E" w:rsidDel="00C60710">
              <w:rPr>
                <w:rFonts w:ascii="Verdana" w:hAnsi="Verdana"/>
              </w:rPr>
              <w:t xml:space="preserve"> </w:t>
            </w:r>
            <w:r w:rsidR="0030353E" w:rsidRPr="00BE536E">
              <w:rPr>
                <w:rFonts w:ascii="Verdana" w:hAnsi="Verdana"/>
              </w:rPr>
              <w:t>«</w:t>
            </w:r>
            <w:r w:rsidR="00A3154D">
              <w:rPr>
                <w:rFonts w:ascii="Verdana" w:hAnsi="Verdana"/>
              </w:rPr>
              <w:t>28</w:t>
            </w:r>
            <w:r w:rsidR="0030353E" w:rsidRPr="00BE536E">
              <w:rPr>
                <w:rFonts w:ascii="Verdana" w:hAnsi="Verdana"/>
              </w:rPr>
              <w:t xml:space="preserve">» </w:t>
            </w:r>
            <w:r w:rsidR="00A3154D">
              <w:rPr>
                <w:rFonts w:ascii="Verdana" w:hAnsi="Verdana"/>
              </w:rPr>
              <w:t>июня</w:t>
            </w:r>
            <w:r w:rsidR="00A3154D" w:rsidRPr="00BE536E">
              <w:rPr>
                <w:rFonts w:ascii="Verdana" w:hAnsi="Verdana"/>
              </w:rPr>
              <w:t xml:space="preserve"> </w:t>
            </w:r>
            <w:r w:rsidR="00CB0519" w:rsidRPr="00BE536E">
              <w:rPr>
                <w:rFonts w:ascii="Verdana" w:hAnsi="Verdana"/>
              </w:rPr>
              <w:t>20</w:t>
            </w:r>
            <w:r w:rsidR="00CB0519">
              <w:rPr>
                <w:rFonts w:ascii="Verdana" w:hAnsi="Verdana"/>
              </w:rPr>
              <w:t>24</w:t>
            </w:r>
            <w:r w:rsidR="00CB0519" w:rsidRPr="00BE536E">
              <w:rPr>
                <w:rFonts w:ascii="Verdana" w:hAnsi="Verdana"/>
              </w:rPr>
              <w:t xml:space="preserve"> </w:t>
            </w:r>
            <w:r w:rsidR="0030353E" w:rsidRPr="00BE536E">
              <w:rPr>
                <w:rFonts w:ascii="Verdana" w:hAnsi="Verdana"/>
              </w:rPr>
              <w:t>г.</w:t>
            </w:r>
          </w:p>
          <w:p w14:paraId="15B0953B" w14:textId="77777777" w:rsidR="00C23587" w:rsidRDefault="00C23587" w:rsidP="00553F43">
            <w:pPr>
              <w:pStyle w:val="ac"/>
              <w:spacing w:line="360" w:lineRule="auto"/>
              <w:ind w:left="0"/>
              <w:rPr>
                <w:rFonts w:ascii="Verdana" w:hAnsi="Verdana"/>
              </w:rPr>
            </w:pPr>
          </w:p>
          <w:p w14:paraId="1331BBA0" w14:textId="5AB2BAAE" w:rsidR="00553F43" w:rsidRPr="00BE536E" w:rsidRDefault="00553F43" w:rsidP="00553F43">
            <w:pPr>
              <w:pStyle w:val="ac"/>
              <w:spacing w:line="360" w:lineRule="auto"/>
              <w:ind w:left="0"/>
              <w:rPr>
                <w:rFonts w:ascii="Verdana" w:hAnsi="Verdana"/>
              </w:rPr>
            </w:pPr>
            <w:r w:rsidRPr="00BE536E">
              <w:rPr>
                <w:rFonts w:ascii="Verdana" w:hAnsi="Verdana"/>
              </w:rPr>
              <w:t>Генеральный директор</w:t>
            </w:r>
          </w:p>
          <w:p w14:paraId="75F7A67D" w14:textId="77777777" w:rsidR="00553F43" w:rsidRPr="00BE536E" w:rsidRDefault="00553F43" w:rsidP="00553F43">
            <w:pPr>
              <w:rPr>
                <w:sz w:val="24"/>
                <w:szCs w:val="24"/>
              </w:rPr>
            </w:pPr>
            <w:r w:rsidRPr="00BE536E">
              <w:rPr>
                <w:sz w:val="24"/>
                <w:szCs w:val="24"/>
              </w:rPr>
              <w:t>Закрытого акционерного общества «Первый Специализированный Депозитарий»</w:t>
            </w:r>
          </w:p>
          <w:p w14:paraId="38BB008C" w14:textId="77777777" w:rsidR="00B43B66" w:rsidRPr="00BE536E" w:rsidRDefault="00553F43" w:rsidP="00553F43">
            <w:pPr>
              <w:pStyle w:val="ac"/>
              <w:spacing w:line="360" w:lineRule="auto"/>
              <w:rPr>
                <w:rFonts w:ascii="Verdana" w:hAnsi="Verdana"/>
              </w:rPr>
            </w:pPr>
            <w:r w:rsidRPr="00BE536E">
              <w:rPr>
                <w:rFonts w:ascii="Verdana" w:hAnsi="Verdana"/>
              </w:rPr>
              <w:t xml:space="preserve">                          Г.Н. Панкратова</w:t>
            </w:r>
            <w:r w:rsidRPr="00BE536E" w:rsidDel="00BA2477">
              <w:rPr>
                <w:rFonts w:ascii="Verdana" w:hAnsi="Verdana"/>
              </w:rPr>
              <w:t xml:space="preserve"> </w:t>
            </w:r>
            <w:r w:rsidRPr="00BE536E">
              <w:rPr>
                <w:rFonts w:ascii="Verdana" w:hAnsi="Verdana"/>
              </w:rPr>
              <w:t xml:space="preserve"> </w:t>
            </w:r>
          </w:p>
        </w:tc>
        <w:tc>
          <w:tcPr>
            <w:tcW w:w="5148" w:type="dxa"/>
          </w:tcPr>
          <w:p w14:paraId="7910CD81" w14:textId="77777777" w:rsidR="00C60710" w:rsidRPr="00BE536E" w:rsidRDefault="00C60710" w:rsidP="00AB5207">
            <w:pPr>
              <w:pStyle w:val="ac"/>
              <w:spacing w:line="360" w:lineRule="auto"/>
              <w:rPr>
                <w:rFonts w:ascii="Verdana" w:hAnsi="Verdana"/>
                <w:b/>
              </w:rPr>
            </w:pPr>
            <w:r w:rsidRPr="00BE536E">
              <w:rPr>
                <w:rFonts w:ascii="Verdana" w:hAnsi="Verdana"/>
                <w:b/>
              </w:rPr>
              <w:t xml:space="preserve"> </w:t>
            </w:r>
            <w:r w:rsidRPr="00BE536E">
              <w:rPr>
                <w:rFonts w:ascii="Verdana" w:hAnsi="Verdana" w:cs="Arial"/>
                <w:b/>
                <w:bCs/>
                <w:iCs/>
                <w:caps/>
                <w:color w:val="943634"/>
              </w:rPr>
              <w:t>«УТВЕРЖДЕНО»</w:t>
            </w:r>
          </w:p>
          <w:p w14:paraId="14A8B51E" w14:textId="460222FD" w:rsidR="00B43B66" w:rsidRPr="00BE536E" w:rsidRDefault="00C60710" w:rsidP="00AB5207">
            <w:pPr>
              <w:pStyle w:val="ac"/>
              <w:spacing w:line="360" w:lineRule="auto"/>
              <w:rPr>
                <w:rFonts w:ascii="Verdana" w:hAnsi="Verdana"/>
              </w:rPr>
            </w:pPr>
            <w:r w:rsidRPr="00BE536E">
              <w:rPr>
                <w:rFonts w:ascii="Verdana" w:hAnsi="Verdana"/>
              </w:rPr>
              <w:t xml:space="preserve"> </w:t>
            </w:r>
            <w:r w:rsidR="0030353E" w:rsidRPr="00BE536E">
              <w:rPr>
                <w:rFonts w:ascii="Verdana" w:hAnsi="Verdana"/>
              </w:rPr>
              <w:t>«</w:t>
            </w:r>
            <w:r w:rsidR="00A3154D">
              <w:rPr>
                <w:rFonts w:ascii="Verdana" w:hAnsi="Verdana"/>
              </w:rPr>
              <w:t>28</w:t>
            </w:r>
            <w:r w:rsidR="0030353E" w:rsidRPr="00BE536E">
              <w:rPr>
                <w:rFonts w:ascii="Verdana" w:hAnsi="Verdana"/>
              </w:rPr>
              <w:t xml:space="preserve">» </w:t>
            </w:r>
            <w:r w:rsidR="00A3154D">
              <w:rPr>
                <w:rFonts w:ascii="Verdana" w:hAnsi="Verdana"/>
              </w:rPr>
              <w:t>июня</w:t>
            </w:r>
            <w:r w:rsidR="00A3154D" w:rsidRPr="00BE536E">
              <w:rPr>
                <w:rFonts w:ascii="Verdana" w:hAnsi="Verdana"/>
              </w:rPr>
              <w:t xml:space="preserve"> </w:t>
            </w:r>
            <w:r w:rsidR="00CB0519" w:rsidRPr="00BE536E">
              <w:rPr>
                <w:rFonts w:ascii="Verdana" w:hAnsi="Verdana"/>
              </w:rPr>
              <w:t>202</w:t>
            </w:r>
            <w:r w:rsidR="00CB0519">
              <w:rPr>
                <w:rFonts w:ascii="Verdana" w:hAnsi="Verdana"/>
              </w:rPr>
              <w:t>4</w:t>
            </w:r>
            <w:r w:rsidR="00CB0519" w:rsidRPr="00BE536E">
              <w:rPr>
                <w:rFonts w:ascii="Verdana" w:hAnsi="Verdana"/>
              </w:rPr>
              <w:t xml:space="preserve"> </w:t>
            </w:r>
            <w:r w:rsidR="0030353E" w:rsidRPr="00BE536E">
              <w:rPr>
                <w:rFonts w:ascii="Verdana" w:hAnsi="Verdana"/>
              </w:rPr>
              <w:t>г.</w:t>
            </w:r>
          </w:p>
          <w:p w14:paraId="2738FF11" w14:textId="77777777" w:rsidR="00B43B66" w:rsidRPr="00BE536E" w:rsidRDefault="00B43B66" w:rsidP="00AB5207">
            <w:pPr>
              <w:pStyle w:val="ac"/>
              <w:spacing w:line="360" w:lineRule="auto"/>
              <w:rPr>
                <w:rFonts w:ascii="Verdana" w:hAnsi="Verdana"/>
              </w:rPr>
            </w:pPr>
          </w:p>
          <w:p w14:paraId="509DE75F" w14:textId="77777777" w:rsidR="00B43B66" w:rsidRPr="00BE536E" w:rsidRDefault="008E71A5" w:rsidP="00AB5207">
            <w:pPr>
              <w:pStyle w:val="ac"/>
              <w:spacing w:line="360" w:lineRule="auto"/>
              <w:rPr>
                <w:rFonts w:ascii="Verdana" w:hAnsi="Verdana"/>
              </w:rPr>
            </w:pPr>
            <w:r w:rsidRPr="00BE536E">
              <w:rPr>
                <w:rFonts w:ascii="Verdana" w:hAnsi="Verdana"/>
              </w:rPr>
              <w:t>Генеральный директор</w:t>
            </w:r>
          </w:p>
          <w:p w14:paraId="54C20A31" w14:textId="77777777" w:rsidR="008E71A5" w:rsidRPr="00BE536E" w:rsidRDefault="008E71A5" w:rsidP="00AB5207">
            <w:pPr>
              <w:pStyle w:val="ac"/>
              <w:spacing w:line="360" w:lineRule="auto"/>
              <w:rPr>
                <w:rFonts w:ascii="Verdana" w:hAnsi="Verdana"/>
              </w:rPr>
            </w:pPr>
            <w:r w:rsidRPr="00BE536E">
              <w:rPr>
                <w:rFonts w:ascii="Verdana" w:hAnsi="Verdana"/>
              </w:rPr>
              <w:t>Общества с ограниченной ответственностью «Управляющая компания «ФОРТИС-Инвест»</w:t>
            </w:r>
          </w:p>
          <w:p w14:paraId="330DDC1C" w14:textId="77777777" w:rsidR="008E71A5" w:rsidRPr="00BE536E" w:rsidRDefault="008E71A5" w:rsidP="00AB5207">
            <w:pPr>
              <w:pStyle w:val="ac"/>
              <w:spacing w:line="360" w:lineRule="auto"/>
              <w:rPr>
                <w:rFonts w:ascii="Verdana" w:hAnsi="Verdana"/>
              </w:rPr>
            </w:pPr>
            <w:r w:rsidRPr="00BE536E">
              <w:rPr>
                <w:rFonts w:ascii="Verdana" w:hAnsi="Verdana"/>
              </w:rPr>
              <w:t xml:space="preserve">                               А.В. Лестовкин</w:t>
            </w:r>
          </w:p>
        </w:tc>
      </w:tr>
    </w:tbl>
    <w:p w14:paraId="69608A48" w14:textId="77777777" w:rsidR="00780287" w:rsidRPr="00BE536E" w:rsidRDefault="00780287" w:rsidP="00D41B68">
      <w:pPr>
        <w:spacing w:after="0" w:line="360" w:lineRule="auto"/>
        <w:rPr>
          <w:rFonts w:ascii="Verdana" w:hAnsi="Verdana"/>
          <w:snapToGrid w:val="0"/>
          <w:vertAlign w:val="superscript"/>
        </w:rPr>
      </w:pPr>
    </w:p>
    <w:p w14:paraId="37A5E4B7" w14:textId="77777777" w:rsidR="00780287" w:rsidRPr="00BE536E" w:rsidRDefault="00780287" w:rsidP="00D41B68">
      <w:pPr>
        <w:spacing w:after="0" w:line="360" w:lineRule="auto"/>
        <w:rPr>
          <w:rFonts w:ascii="Verdana" w:hAnsi="Verdana"/>
          <w:snapToGrid w:val="0"/>
          <w:vertAlign w:val="superscript"/>
        </w:rPr>
      </w:pPr>
    </w:p>
    <w:p w14:paraId="72442448" w14:textId="77777777" w:rsidR="00780287" w:rsidRPr="00BE536E" w:rsidRDefault="00780287" w:rsidP="00D41B68">
      <w:pPr>
        <w:spacing w:after="0" w:line="360" w:lineRule="auto"/>
        <w:rPr>
          <w:rFonts w:ascii="Verdana" w:hAnsi="Verdana"/>
          <w:snapToGrid w:val="0"/>
          <w:vertAlign w:val="superscript"/>
        </w:rPr>
      </w:pPr>
    </w:p>
    <w:p w14:paraId="3B30DC43" w14:textId="77777777" w:rsidR="00B43B66" w:rsidRPr="00BE536E" w:rsidRDefault="008943A0" w:rsidP="009D63B8">
      <w:pPr>
        <w:spacing w:line="360" w:lineRule="auto"/>
        <w:jc w:val="both"/>
        <w:rPr>
          <w:rFonts w:ascii="Verdana" w:hAnsi="Verdana"/>
          <w:b/>
          <w:snapToGrid w:val="0"/>
        </w:rPr>
      </w:pPr>
      <w:r w:rsidRPr="00BE536E">
        <w:rPr>
          <w:rFonts w:ascii="Verdana" w:hAnsi="Verdana"/>
          <w:snapToGrid w:val="0"/>
          <w:vertAlign w:val="superscript"/>
        </w:rPr>
        <w:t xml:space="preserve">                                                      </w:t>
      </w:r>
    </w:p>
    <w:p w14:paraId="5C7EC4CA" w14:textId="5DBBF024" w:rsidR="00C60710" w:rsidRPr="00BE536E" w:rsidRDefault="00613CF7" w:rsidP="00567222">
      <w:pPr>
        <w:spacing w:after="0"/>
        <w:jc w:val="center"/>
        <w:rPr>
          <w:rFonts w:ascii="Verdana" w:eastAsia="Times New Roman" w:hAnsi="Verdana" w:cs="Arial"/>
          <w:b/>
          <w:bCs/>
          <w:iCs/>
          <w:caps/>
          <w:color w:val="943634"/>
          <w:sz w:val="28"/>
          <w:szCs w:val="28"/>
          <w:lang w:eastAsia="ru-RU"/>
        </w:rPr>
      </w:pPr>
      <w:r w:rsidRPr="00BE536E">
        <w:rPr>
          <w:rFonts w:ascii="Verdana" w:eastAsia="Times New Roman" w:hAnsi="Verdana" w:cs="Arial"/>
          <w:b/>
          <w:bCs/>
          <w:iCs/>
          <w:caps/>
          <w:color w:val="943634"/>
          <w:sz w:val="28"/>
          <w:szCs w:val="28"/>
          <w:lang w:eastAsia="ru-RU"/>
        </w:rPr>
        <w:t xml:space="preserve">ПРАВИЛА ОПРЕДЕЛЕНИЯ СТОИМОСТИ ЧИСТЫХ АКТИВОВ </w:t>
      </w:r>
    </w:p>
    <w:p w14:paraId="06505A0B" w14:textId="77777777" w:rsidR="008E71A5" w:rsidRPr="00BE536E" w:rsidRDefault="008E71A5" w:rsidP="00567222">
      <w:pPr>
        <w:spacing w:after="0"/>
        <w:jc w:val="center"/>
        <w:rPr>
          <w:rFonts w:ascii="Verdana" w:eastAsia="Times New Roman" w:hAnsi="Verdana" w:cs="Arial"/>
          <w:b/>
          <w:bCs/>
          <w:iCs/>
          <w:caps/>
          <w:color w:val="943634"/>
          <w:sz w:val="28"/>
          <w:szCs w:val="28"/>
          <w:lang w:eastAsia="ru-RU"/>
        </w:rPr>
      </w:pPr>
      <w:r w:rsidRPr="00BE536E">
        <w:rPr>
          <w:rFonts w:ascii="Verdana" w:eastAsia="Times New Roman" w:hAnsi="Verdana" w:cs="Arial"/>
          <w:b/>
          <w:bCs/>
          <w:iCs/>
          <w:caps/>
          <w:color w:val="943634"/>
          <w:sz w:val="28"/>
          <w:szCs w:val="28"/>
          <w:lang w:eastAsia="ru-RU"/>
        </w:rPr>
        <w:t xml:space="preserve">ЗАКРЫТОГО ПАЕВОГО ИНВЕСТИЦИОННОГО </w:t>
      </w:r>
    </w:p>
    <w:p w14:paraId="539B179C" w14:textId="77777777" w:rsidR="00202745" w:rsidRPr="00BE536E" w:rsidRDefault="002B1442" w:rsidP="00567222">
      <w:pPr>
        <w:spacing w:after="0"/>
        <w:jc w:val="center"/>
        <w:rPr>
          <w:rFonts w:ascii="Verdana" w:eastAsia="Times New Roman" w:hAnsi="Verdana" w:cs="Arial"/>
          <w:b/>
          <w:bCs/>
          <w:iCs/>
          <w:caps/>
          <w:color w:val="943634"/>
          <w:sz w:val="28"/>
          <w:szCs w:val="28"/>
          <w:lang w:eastAsia="ru-RU"/>
        </w:rPr>
      </w:pPr>
      <w:r w:rsidRPr="00BE536E">
        <w:rPr>
          <w:rFonts w:ascii="Verdana" w:eastAsia="Times New Roman" w:hAnsi="Verdana" w:cs="Arial"/>
          <w:b/>
          <w:bCs/>
          <w:iCs/>
          <w:caps/>
          <w:color w:val="943634"/>
          <w:sz w:val="28"/>
          <w:szCs w:val="28"/>
          <w:lang w:eastAsia="ru-RU"/>
        </w:rPr>
        <w:t>КОМБИНИРОВАННОГО</w:t>
      </w:r>
      <w:r w:rsidR="00D27E07" w:rsidRPr="00BE536E">
        <w:rPr>
          <w:rFonts w:ascii="Verdana" w:eastAsia="Times New Roman" w:hAnsi="Verdana" w:cs="Arial"/>
          <w:b/>
          <w:bCs/>
          <w:iCs/>
          <w:caps/>
          <w:color w:val="943634"/>
          <w:sz w:val="28"/>
          <w:szCs w:val="28"/>
          <w:lang w:eastAsia="ru-RU"/>
        </w:rPr>
        <w:t xml:space="preserve"> ФОНДА</w:t>
      </w:r>
    </w:p>
    <w:p w14:paraId="7FE59DAD" w14:textId="5B052072" w:rsidR="008E71A5" w:rsidRPr="00BE536E" w:rsidRDefault="008E71A5" w:rsidP="00567222">
      <w:pPr>
        <w:spacing w:after="0" w:line="360" w:lineRule="auto"/>
        <w:jc w:val="center"/>
        <w:rPr>
          <w:rFonts w:ascii="Verdana" w:hAnsi="Verdana"/>
          <w:snapToGrid w:val="0"/>
        </w:rPr>
      </w:pPr>
      <w:r w:rsidRPr="00BE536E">
        <w:rPr>
          <w:rFonts w:ascii="Verdana" w:eastAsia="Times New Roman" w:hAnsi="Verdana" w:cs="Arial"/>
          <w:b/>
          <w:bCs/>
          <w:iCs/>
          <w:caps/>
          <w:color w:val="943634"/>
          <w:sz w:val="28"/>
          <w:szCs w:val="28"/>
          <w:lang w:eastAsia="ru-RU"/>
        </w:rPr>
        <w:t xml:space="preserve"> «</w:t>
      </w:r>
      <w:r w:rsidR="00C24E73">
        <w:rPr>
          <w:rFonts w:ascii="Verdana" w:eastAsia="Times New Roman" w:hAnsi="Verdana" w:cs="Arial"/>
          <w:b/>
          <w:bCs/>
          <w:iCs/>
          <w:caps/>
          <w:color w:val="943634"/>
          <w:sz w:val="28"/>
          <w:szCs w:val="28"/>
          <w:lang w:eastAsia="ru-RU"/>
        </w:rPr>
        <w:t xml:space="preserve">ФОРТИС </w:t>
      </w:r>
      <w:r w:rsidR="00A3154D">
        <w:rPr>
          <w:rFonts w:ascii="Verdana" w:eastAsia="Times New Roman" w:hAnsi="Verdana" w:cs="Arial"/>
          <w:b/>
          <w:bCs/>
          <w:iCs/>
          <w:color w:val="943634"/>
          <w:sz w:val="28"/>
          <w:szCs w:val="28"/>
          <w:lang w:eastAsia="ru-RU"/>
        </w:rPr>
        <w:t>четырнадцатый</w:t>
      </w:r>
      <w:r w:rsidRPr="00BE536E">
        <w:rPr>
          <w:rFonts w:ascii="Verdana" w:eastAsia="Times New Roman" w:hAnsi="Verdana" w:cs="Arial"/>
          <w:b/>
          <w:bCs/>
          <w:iCs/>
          <w:caps/>
          <w:color w:val="943634"/>
          <w:sz w:val="28"/>
          <w:szCs w:val="28"/>
          <w:lang w:eastAsia="ru-RU"/>
        </w:rPr>
        <w:t>»</w:t>
      </w:r>
      <w:r w:rsidRPr="00BE536E">
        <w:rPr>
          <w:rFonts w:ascii="Verdana" w:hAnsi="Verdana"/>
          <w:snapToGrid w:val="0"/>
        </w:rPr>
        <w:t xml:space="preserve">, </w:t>
      </w:r>
    </w:p>
    <w:p w14:paraId="26DEE62B" w14:textId="77777777" w:rsidR="00B43B66" w:rsidRPr="00BE536E" w:rsidRDefault="008E71A5" w:rsidP="008E71A5">
      <w:pPr>
        <w:spacing w:after="0"/>
        <w:jc w:val="center"/>
        <w:rPr>
          <w:rFonts w:ascii="Verdana" w:hAnsi="Verdana"/>
          <w:snapToGrid w:val="0"/>
        </w:rPr>
      </w:pPr>
      <w:r w:rsidRPr="00BE536E">
        <w:rPr>
          <w:rFonts w:ascii="Verdana" w:hAnsi="Verdana"/>
          <w:snapToGrid w:val="0"/>
        </w:rPr>
        <w:t>инвестиционные паи которого предназначены для квалифицированных инвесторов</w:t>
      </w:r>
    </w:p>
    <w:p w14:paraId="5030BDE3" w14:textId="77777777" w:rsidR="005955A3" w:rsidRPr="00BE536E" w:rsidRDefault="005955A3" w:rsidP="00C92AC4">
      <w:pPr>
        <w:spacing w:line="360" w:lineRule="auto"/>
        <w:ind w:left="-1701" w:firstLine="567"/>
        <w:jc w:val="both"/>
        <w:rPr>
          <w:rFonts w:ascii="Verdana" w:eastAsia="Times New Roman" w:hAnsi="Verdana" w:cs="Arial"/>
          <w:b/>
          <w:bCs/>
          <w:iCs/>
          <w:caps/>
          <w:color w:val="943634"/>
          <w:sz w:val="24"/>
          <w:szCs w:val="24"/>
          <w:lang w:eastAsia="ru-RU"/>
        </w:rPr>
      </w:pPr>
    </w:p>
    <w:p w14:paraId="78F18521" w14:textId="77777777" w:rsidR="00AF7FC0" w:rsidRPr="00BE536E" w:rsidRDefault="00211A11" w:rsidP="00D94BA7">
      <w:pPr>
        <w:spacing w:after="0" w:line="240" w:lineRule="auto"/>
        <w:rPr>
          <w:rFonts w:ascii="Verdana" w:hAnsi="Verdana" w:cs="Arial"/>
          <w:caps/>
          <w:color w:val="943634"/>
          <w:sz w:val="24"/>
        </w:rPr>
      </w:pPr>
      <w:r w:rsidRPr="00BE536E">
        <w:rPr>
          <w:rFonts w:ascii="Verdana" w:eastAsia="Times New Roman" w:hAnsi="Verdana" w:cs="Arial"/>
          <w:b/>
          <w:bCs/>
          <w:iCs/>
          <w:caps/>
          <w:color w:val="943634"/>
          <w:sz w:val="24"/>
          <w:szCs w:val="24"/>
          <w:lang w:eastAsia="ru-RU"/>
        </w:rPr>
        <w:br w:type="page"/>
      </w:r>
      <w:bookmarkStart w:id="0" w:name="_Toc27400747"/>
      <w:r w:rsidR="00AF7FC0" w:rsidRPr="00BE536E">
        <w:rPr>
          <w:rFonts w:ascii="Verdana" w:hAnsi="Verdana" w:cs="Arial"/>
          <w:b/>
          <w:caps/>
          <w:color w:val="943634"/>
          <w:sz w:val="24"/>
        </w:rPr>
        <w:lastRenderedPageBreak/>
        <w:t>Термины и определения, используемые в Правилах опред</w:t>
      </w:r>
      <w:r w:rsidR="00AF3F62" w:rsidRPr="00BE536E">
        <w:rPr>
          <w:rFonts w:ascii="Verdana" w:hAnsi="Verdana" w:cs="Arial"/>
          <w:b/>
          <w:caps/>
          <w:color w:val="943634"/>
          <w:sz w:val="24"/>
        </w:rPr>
        <w:t>еления стоимости чистых активов</w:t>
      </w:r>
      <w:bookmarkEnd w:id="0"/>
    </w:p>
    <w:p w14:paraId="648D30C2" w14:textId="77777777" w:rsidR="00594E06" w:rsidRPr="00BE536E" w:rsidRDefault="00594E06" w:rsidP="00385F5B">
      <w:pPr>
        <w:pStyle w:val="aff1"/>
        <w:spacing w:before="120" w:after="120" w:line="360" w:lineRule="auto"/>
        <w:jc w:val="both"/>
        <w:rPr>
          <w:rFonts w:ascii="Verdana Pro" w:hAnsi="Verdana Pro"/>
          <w:sz w:val="22"/>
          <w:szCs w:val="22"/>
        </w:rPr>
      </w:pPr>
      <w:r w:rsidRPr="00BE536E">
        <w:rPr>
          <w:rFonts w:ascii="Verdana Pro" w:hAnsi="Verdana Pro"/>
          <w:b/>
          <w:color w:val="943634"/>
          <w:sz w:val="22"/>
          <w:szCs w:val="22"/>
        </w:rPr>
        <w:t>ПИФ</w:t>
      </w:r>
      <w:r w:rsidR="008B4625" w:rsidRPr="00BE536E">
        <w:rPr>
          <w:rFonts w:ascii="Verdana Pro" w:hAnsi="Verdana Pro"/>
          <w:b/>
          <w:color w:val="943634"/>
          <w:sz w:val="22"/>
          <w:szCs w:val="22"/>
        </w:rPr>
        <w:t xml:space="preserve"> </w:t>
      </w:r>
      <w:r w:rsidR="008B4625" w:rsidRPr="00BE536E">
        <w:rPr>
          <w:rFonts w:ascii="Verdana Pro" w:hAnsi="Verdana Pro"/>
          <w:sz w:val="22"/>
          <w:szCs w:val="22"/>
        </w:rPr>
        <w:t>–</w:t>
      </w:r>
      <w:r w:rsidR="00B57C72" w:rsidRPr="00BE536E">
        <w:rPr>
          <w:rFonts w:ascii="Verdana Pro" w:hAnsi="Verdana Pro"/>
          <w:sz w:val="22"/>
          <w:szCs w:val="22"/>
        </w:rPr>
        <w:t xml:space="preserve"> </w:t>
      </w:r>
      <w:r w:rsidR="008B4625" w:rsidRPr="00BE536E">
        <w:rPr>
          <w:rFonts w:ascii="Verdana Pro" w:hAnsi="Verdana Pro"/>
          <w:sz w:val="22"/>
          <w:szCs w:val="22"/>
        </w:rPr>
        <w:t>паевой инвестиционный фонд</w:t>
      </w:r>
    </w:p>
    <w:p w14:paraId="1794605D" w14:textId="77777777" w:rsidR="00D137F5" w:rsidRPr="00BE536E" w:rsidRDefault="00D137F5" w:rsidP="00385F5B">
      <w:pPr>
        <w:pStyle w:val="aff1"/>
        <w:spacing w:before="120" w:after="120" w:line="360" w:lineRule="auto"/>
        <w:jc w:val="both"/>
        <w:rPr>
          <w:rFonts w:ascii="Verdana Pro" w:hAnsi="Verdana Pro"/>
          <w:b/>
          <w:sz w:val="22"/>
          <w:szCs w:val="22"/>
        </w:rPr>
      </w:pPr>
      <w:r w:rsidRPr="00BE536E">
        <w:rPr>
          <w:rFonts w:ascii="Verdana Pro" w:eastAsia="Times New Roman" w:hAnsi="Verdana Pro" w:cs="Arial"/>
          <w:b/>
          <w:color w:val="943634"/>
          <w:sz w:val="22"/>
          <w:szCs w:val="22"/>
        </w:rPr>
        <w:t>Управляющая компания</w:t>
      </w:r>
      <w:r w:rsidRPr="00BE536E">
        <w:rPr>
          <w:rFonts w:ascii="Verdana Pro" w:hAnsi="Verdana Pro"/>
          <w:sz w:val="22"/>
          <w:szCs w:val="22"/>
        </w:rPr>
        <w:t xml:space="preserve"> - </w:t>
      </w:r>
      <w:r w:rsidR="009F5D6C" w:rsidRPr="00BE536E">
        <w:rPr>
          <w:rFonts w:ascii="Verdana Pro" w:hAnsi="Verdana Pro"/>
          <w:sz w:val="22"/>
          <w:szCs w:val="22"/>
        </w:rPr>
        <w:t>о</w:t>
      </w:r>
      <w:r w:rsidR="00B33227" w:rsidRPr="00BE536E">
        <w:rPr>
          <w:rFonts w:ascii="Verdana Pro" w:hAnsi="Verdana Pro"/>
          <w:sz w:val="22"/>
          <w:szCs w:val="22"/>
        </w:rPr>
        <w:t>рганизация</w:t>
      </w:r>
      <w:r w:rsidR="00B7782A" w:rsidRPr="00BE536E">
        <w:rPr>
          <w:rFonts w:ascii="Verdana Pro" w:hAnsi="Verdana Pro"/>
          <w:sz w:val="22"/>
          <w:szCs w:val="22"/>
        </w:rPr>
        <w:t>, созданн</w:t>
      </w:r>
      <w:r w:rsidR="00B328AC" w:rsidRPr="00BE536E">
        <w:rPr>
          <w:rFonts w:ascii="Verdana Pro" w:hAnsi="Verdana Pro"/>
          <w:sz w:val="22"/>
          <w:szCs w:val="22"/>
        </w:rPr>
        <w:t>ая</w:t>
      </w:r>
      <w:r w:rsidR="00B7782A" w:rsidRPr="00BE536E">
        <w:rPr>
          <w:rFonts w:ascii="Verdana Pro" w:hAnsi="Verdana Pro"/>
          <w:sz w:val="22"/>
          <w:szCs w:val="22"/>
        </w:rPr>
        <w:t xml:space="preserve"> в соответствии с законодательством Российской Федерации и имеющ</w:t>
      </w:r>
      <w:r w:rsidR="00B328AC" w:rsidRPr="00BE536E">
        <w:rPr>
          <w:rFonts w:ascii="Verdana Pro" w:hAnsi="Verdana Pro"/>
          <w:sz w:val="22"/>
          <w:szCs w:val="22"/>
        </w:rPr>
        <w:t>ая</w:t>
      </w:r>
      <w:r w:rsidR="00B7782A" w:rsidRPr="00BE536E">
        <w:rPr>
          <w:rFonts w:ascii="Verdana Pro" w:hAnsi="Verdana Pro"/>
          <w:sz w:val="22"/>
          <w:szCs w:val="22"/>
        </w:rPr>
        <w:t xml:space="preserve">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 Управляющая компания действует на основании правил доверительного управления ПИФ</w:t>
      </w:r>
      <w:r w:rsidR="00A84B24" w:rsidRPr="00BE536E">
        <w:rPr>
          <w:rFonts w:ascii="Verdana Pro" w:hAnsi="Verdana Pro"/>
          <w:sz w:val="22"/>
          <w:szCs w:val="22"/>
        </w:rPr>
        <w:t>.</w:t>
      </w:r>
    </w:p>
    <w:p w14:paraId="32419A1D" w14:textId="77777777" w:rsidR="00B7782A" w:rsidRPr="00BE536E" w:rsidRDefault="00B7782A" w:rsidP="00385F5B">
      <w:pPr>
        <w:pStyle w:val="aff1"/>
        <w:spacing w:before="120" w:after="120" w:line="360" w:lineRule="auto"/>
        <w:jc w:val="both"/>
        <w:rPr>
          <w:rFonts w:ascii="Verdana Pro" w:hAnsi="Verdana Pro"/>
          <w:sz w:val="22"/>
          <w:szCs w:val="22"/>
        </w:rPr>
      </w:pPr>
      <w:r w:rsidRPr="00BE536E">
        <w:rPr>
          <w:rFonts w:ascii="Verdana Pro" w:eastAsia="Times New Roman" w:hAnsi="Verdana Pro" w:cs="Arial"/>
          <w:b/>
          <w:color w:val="943634"/>
          <w:sz w:val="22"/>
          <w:szCs w:val="22"/>
        </w:rPr>
        <w:t>Инвестиционный пай</w:t>
      </w:r>
      <w:r w:rsidRPr="00BE536E">
        <w:rPr>
          <w:rFonts w:ascii="Verdana Pro" w:hAnsi="Verdana Pro"/>
          <w:b/>
          <w:sz w:val="22"/>
          <w:szCs w:val="22"/>
        </w:rPr>
        <w:t xml:space="preserve"> </w:t>
      </w:r>
      <w:r w:rsidRPr="00BE536E">
        <w:rPr>
          <w:rFonts w:ascii="Verdana Pro" w:hAnsi="Verdana Pro"/>
          <w:sz w:val="22"/>
          <w:szCs w:val="22"/>
        </w:rPr>
        <w:t xml:space="preserve">– именная ценная бумага, удостоверяющая долю  владельца пая в праве собственности на имущество, составляющее </w:t>
      </w:r>
      <w:r w:rsidR="00A84B24" w:rsidRPr="00BE536E">
        <w:rPr>
          <w:rFonts w:ascii="Verdana Pro" w:hAnsi="Verdana Pro"/>
          <w:sz w:val="22"/>
          <w:szCs w:val="22"/>
        </w:rPr>
        <w:t>ПИФ</w:t>
      </w:r>
      <w:r w:rsidRPr="00BE536E">
        <w:rPr>
          <w:rFonts w:ascii="Verdana Pro" w:hAnsi="Verdana Pro"/>
          <w:sz w:val="22"/>
          <w:szCs w:val="22"/>
        </w:rPr>
        <w:t xml:space="preserve">, право требовать от управляющей компании надлежащего доверительного управления </w:t>
      </w:r>
      <w:r w:rsidR="00A84B24" w:rsidRPr="00BE536E">
        <w:rPr>
          <w:rFonts w:ascii="Verdana Pro" w:hAnsi="Verdana Pro"/>
          <w:sz w:val="22"/>
          <w:szCs w:val="22"/>
        </w:rPr>
        <w:t>ПИФ</w:t>
      </w:r>
      <w:r w:rsidRPr="00BE536E">
        <w:rPr>
          <w:rFonts w:ascii="Verdana Pro" w:hAnsi="Verdana Pro"/>
          <w:sz w:val="22"/>
          <w:szCs w:val="22"/>
        </w:rPr>
        <w:t xml:space="preserve">, право на получение денежной компенсации при прекращении договора доверительного управления </w:t>
      </w:r>
      <w:r w:rsidR="00A84B24" w:rsidRPr="00BE536E">
        <w:rPr>
          <w:rFonts w:ascii="Verdana Pro" w:hAnsi="Verdana Pro"/>
          <w:sz w:val="22"/>
          <w:szCs w:val="22"/>
        </w:rPr>
        <w:t>ПИФ</w:t>
      </w:r>
      <w:r w:rsidRPr="00BE536E">
        <w:rPr>
          <w:rFonts w:ascii="Verdana Pro" w:hAnsi="Verdana Pro"/>
          <w:sz w:val="22"/>
          <w:szCs w:val="22"/>
        </w:rPr>
        <w:t xml:space="preserve"> со всеми владельцами инвестиционных паев этого </w:t>
      </w:r>
      <w:r w:rsidR="00A84B24" w:rsidRPr="00BE536E">
        <w:rPr>
          <w:rFonts w:ascii="Verdana Pro" w:hAnsi="Verdana Pro"/>
          <w:sz w:val="22"/>
          <w:szCs w:val="22"/>
        </w:rPr>
        <w:t>ПИФ</w:t>
      </w:r>
      <w:r w:rsidRPr="00BE536E">
        <w:rPr>
          <w:rFonts w:ascii="Verdana Pro" w:hAnsi="Verdana Pro"/>
          <w:sz w:val="22"/>
          <w:szCs w:val="22"/>
        </w:rPr>
        <w:t xml:space="preserve"> (прекращении </w:t>
      </w:r>
      <w:r w:rsidR="00A84B24" w:rsidRPr="00BE536E">
        <w:rPr>
          <w:rFonts w:ascii="Verdana Pro" w:hAnsi="Verdana Pro"/>
          <w:sz w:val="22"/>
          <w:szCs w:val="22"/>
        </w:rPr>
        <w:t>ПИФ</w:t>
      </w:r>
      <w:r w:rsidRPr="00BE536E">
        <w:rPr>
          <w:rFonts w:ascii="Verdana Pro" w:hAnsi="Verdana Pro"/>
          <w:sz w:val="22"/>
          <w:szCs w:val="22"/>
        </w:rPr>
        <w:t>).</w:t>
      </w:r>
    </w:p>
    <w:p w14:paraId="19C22B92" w14:textId="77777777" w:rsidR="00B7782A" w:rsidRPr="00BE536E" w:rsidRDefault="00B7782A" w:rsidP="00385F5B">
      <w:pPr>
        <w:pStyle w:val="aff1"/>
        <w:spacing w:before="120" w:after="120" w:line="360" w:lineRule="auto"/>
        <w:jc w:val="both"/>
        <w:rPr>
          <w:rFonts w:ascii="Verdana Pro" w:hAnsi="Verdana Pro"/>
          <w:sz w:val="22"/>
          <w:szCs w:val="22"/>
        </w:rPr>
      </w:pPr>
      <w:r w:rsidRPr="00BE536E">
        <w:rPr>
          <w:rFonts w:ascii="Verdana Pro" w:hAnsi="Verdana Pro"/>
          <w:b/>
          <w:color w:val="943634"/>
          <w:sz w:val="22"/>
          <w:szCs w:val="22"/>
        </w:rPr>
        <w:t xml:space="preserve">Правила доверительного управления паевым инвестиционным фондом (Правила ДУ ПИФ) </w:t>
      </w:r>
      <w:r w:rsidRPr="00BE536E">
        <w:rPr>
          <w:rFonts w:ascii="Verdana Pro" w:hAnsi="Verdana Pro"/>
          <w:sz w:val="22"/>
          <w:szCs w:val="22"/>
        </w:rPr>
        <w:t xml:space="preserve">– условия договора доверительного управления </w:t>
      </w:r>
      <w:r w:rsidR="00594E06" w:rsidRPr="00BE536E">
        <w:rPr>
          <w:rFonts w:ascii="Verdana Pro" w:hAnsi="Verdana Pro"/>
          <w:sz w:val="22"/>
          <w:szCs w:val="22"/>
        </w:rPr>
        <w:t>ПИФ</w:t>
      </w:r>
      <w:r w:rsidRPr="00BE536E">
        <w:rPr>
          <w:rFonts w:ascii="Verdana Pro" w:hAnsi="Verdana Pro"/>
          <w:sz w:val="22"/>
          <w:szCs w:val="22"/>
        </w:rPr>
        <w:t>, определяемые Управляющей компанией в стандартных формах, соответствующие типовым правилам</w:t>
      </w:r>
      <w:r w:rsidR="000846CD" w:rsidRPr="00BE536E">
        <w:rPr>
          <w:rFonts w:ascii="Verdana Pro" w:hAnsi="Verdana Pro"/>
          <w:sz w:val="22"/>
          <w:szCs w:val="22"/>
        </w:rPr>
        <w:t xml:space="preserve"> </w:t>
      </w:r>
      <w:r w:rsidR="00B33227" w:rsidRPr="00BE536E">
        <w:rPr>
          <w:rFonts w:ascii="Verdana Pro" w:hAnsi="Verdana Pro"/>
          <w:sz w:val="22"/>
          <w:szCs w:val="22"/>
        </w:rPr>
        <w:t xml:space="preserve">доверительного управления </w:t>
      </w:r>
      <w:r w:rsidR="000846CD" w:rsidRPr="00BE536E">
        <w:rPr>
          <w:rFonts w:ascii="Verdana Pro" w:hAnsi="Verdana Pro"/>
          <w:sz w:val="22"/>
          <w:szCs w:val="22"/>
        </w:rPr>
        <w:t>ПИФ</w:t>
      </w:r>
      <w:r w:rsidRPr="00BE536E">
        <w:rPr>
          <w:rFonts w:ascii="Verdana Pro" w:hAnsi="Verdana Pro"/>
          <w:sz w:val="22"/>
          <w:szCs w:val="22"/>
        </w:rPr>
        <w:t>, утвержденным Банком России. Правила ДУ ПИФ</w:t>
      </w:r>
      <w:r w:rsidR="00B33227" w:rsidRPr="00BE536E">
        <w:rPr>
          <w:rFonts w:ascii="Verdana Pro" w:hAnsi="Verdana Pro"/>
          <w:sz w:val="22"/>
          <w:szCs w:val="22"/>
        </w:rPr>
        <w:t>,</w:t>
      </w:r>
      <w:r w:rsidRPr="00BE536E">
        <w:rPr>
          <w:rFonts w:ascii="Verdana Pro" w:hAnsi="Verdana Pro"/>
          <w:sz w:val="22"/>
          <w:szCs w:val="22"/>
        </w:rPr>
        <w:t xml:space="preserve"> и изменения и дополнения в них подлежат регистрации Банком России.</w:t>
      </w:r>
    </w:p>
    <w:p w14:paraId="490E3C22" w14:textId="77777777" w:rsidR="004C33CD" w:rsidRPr="00BE536E" w:rsidRDefault="004C33CD" w:rsidP="00385F5B">
      <w:pPr>
        <w:pStyle w:val="aff1"/>
        <w:spacing w:before="120" w:after="120" w:line="360" w:lineRule="auto"/>
        <w:jc w:val="both"/>
        <w:rPr>
          <w:rFonts w:ascii="Verdana Pro" w:hAnsi="Verdana Pro"/>
          <w:sz w:val="22"/>
          <w:szCs w:val="22"/>
        </w:rPr>
      </w:pPr>
      <w:r w:rsidRPr="00BE536E">
        <w:rPr>
          <w:rFonts w:ascii="Verdana Pro" w:hAnsi="Verdana Pro"/>
          <w:b/>
          <w:color w:val="943634"/>
          <w:sz w:val="22"/>
          <w:szCs w:val="22"/>
        </w:rPr>
        <w:t xml:space="preserve">Стоимость чистых активов (СЧА) </w:t>
      </w:r>
      <w:r w:rsidRPr="00BE536E">
        <w:rPr>
          <w:rFonts w:ascii="Verdana Pro" w:hAnsi="Verdana Pro"/>
          <w:sz w:val="22"/>
          <w:szCs w:val="22"/>
        </w:rPr>
        <w:t xml:space="preserve">– величина, определяемая в соответствии с законодательством Российской Федерации, как разница между стоимостью активов </w:t>
      </w:r>
      <w:r w:rsidR="0043082D" w:rsidRPr="00BE536E">
        <w:rPr>
          <w:rFonts w:ascii="Verdana Pro" w:hAnsi="Verdana Pro"/>
          <w:sz w:val="22"/>
          <w:szCs w:val="22"/>
        </w:rPr>
        <w:t>ПИФ</w:t>
      </w:r>
      <w:r w:rsidRPr="00BE536E">
        <w:rPr>
          <w:rFonts w:ascii="Verdana Pro" w:hAnsi="Verdana Pro"/>
          <w:sz w:val="22"/>
          <w:szCs w:val="22"/>
        </w:rPr>
        <w:t xml:space="preserve"> (далее – активы) и величиной обязательств, подлежащих исполнению за счет указанных активов (далее – обязательства), на момент определения СЧА </w:t>
      </w:r>
      <w:r w:rsidR="0043082D" w:rsidRPr="00BE536E">
        <w:rPr>
          <w:rFonts w:ascii="Verdana Pro" w:hAnsi="Verdana Pro"/>
          <w:sz w:val="22"/>
          <w:szCs w:val="22"/>
        </w:rPr>
        <w:t>ПИФ.</w:t>
      </w:r>
    </w:p>
    <w:p w14:paraId="4225B1C1" w14:textId="77777777" w:rsidR="00A57567" w:rsidRPr="00BE536E" w:rsidRDefault="00162665" w:rsidP="00AF3F62">
      <w:pPr>
        <w:spacing w:before="120" w:after="120" w:line="360" w:lineRule="auto"/>
        <w:jc w:val="both"/>
        <w:rPr>
          <w:rFonts w:ascii="Verdana" w:hAnsi="Verdana"/>
        </w:rPr>
      </w:pPr>
      <w:r w:rsidRPr="00BE536E">
        <w:rPr>
          <w:rFonts w:ascii="Verdana" w:hAnsi="Verdana"/>
          <w:b/>
          <w:color w:val="943634"/>
        </w:rPr>
        <w:t xml:space="preserve">Правила определения СЧА - </w:t>
      </w:r>
      <w:r w:rsidR="00EE74AE" w:rsidRPr="00BE536E">
        <w:rPr>
          <w:rFonts w:ascii="Verdana" w:hAnsi="Verdana"/>
        </w:rPr>
        <w:t>локальный акт управляющей компании ПИФ, устанавливающий порядок и сроки определения СЧА</w:t>
      </w:r>
      <w:r w:rsidR="00A57567" w:rsidRPr="00BE536E">
        <w:rPr>
          <w:rFonts w:ascii="Verdana" w:hAnsi="Verdana"/>
        </w:rPr>
        <w:t xml:space="preserve">, </w:t>
      </w:r>
      <w:r w:rsidR="00A57567" w:rsidRPr="00BE536E">
        <w:rPr>
          <w:rFonts w:ascii="Verdana" w:hAnsi="Verdana" w:cs="Verdana"/>
        </w:rPr>
        <w:t xml:space="preserve">в том числе порядок расчета среднегодовой СЧА ПИФ, определения расчетной стоимости инвестиционных паев </w:t>
      </w:r>
      <w:r w:rsidR="003B0E1D" w:rsidRPr="00BE536E">
        <w:rPr>
          <w:rFonts w:ascii="Verdana" w:hAnsi="Verdana" w:cs="Verdana"/>
        </w:rPr>
        <w:t>ПИФ</w:t>
      </w:r>
      <w:r w:rsidR="00A57567" w:rsidRPr="00BE536E">
        <w:rPr>
          <w:rFonts w:ascii="Verdana" w:hAnsi="Verdana" w:cs="Verdana"/>
        </w:rPr>
        <w:t>, порядок определения стоимости имущества, переданного в оплату инвестиционных паев.</w:t>
      </w:r>
      <w:r w:rsidR="00AF7690" w:rsidRPr="00BE536E">
        <w:rPr>
          <w:rFonts w:ascii="Verdana" w:hAnsi="Verdana" w:cs="Verdana"/>
        </w:rPr>
        <w:t xml:space="preserve"> Справедливая стоимость имущества, переданного в оплату инвестиционных паев</w:t>
      </w:r>
      <w:r w:rsidR="00154CB2" w:rsidRPr="00BE536E">
        <w:rPr>
          <w:rFonts w:ascii="Verdana" w:hAnsi="Verdana" w:cs="Verdana"/>
        </w:rPr>
        <w:t>,</w:t>
      </w:r>
      <w:r w:rsidR="00AF7690" w:rsidRPr="00BE536E">
        <w:rPr>
          <w:rFonts w:ascii="Verdana" w:hAnsi="Verdana" w:cs="Verdana"/>
        </w:rPr>
        <w:t xml:space="preserve"> определяется с учетом алгоритмов оценки, предусмотренных в настоящих Правилах определения СЧА.</w:t>
      </w:r>
    </w:p>
    <w:p w14:paraId="3B2104F1" w14:textId="77777777" w:rsidR="00ED0353" w:rsidRPr="00BE536E" w:rsidRDefault="00AB382F" w:rsidP="00AF3F62">
      <w:pPr>
        <w:autoSpaceDE w:val="0"/>
        <w:autoSpaceDN w:val="0"/>
        <w:adjustRightInd w:val="0"/>
        <w:spacing w:before="120" w:after="120" w:line="360" w:lineRule="auto"/>
        <w:jc w:val="both"/>
        <w:rPr>
          <w:rFonts w:ascii="Verdana" w:hAnsi="Verdana"/>
        </w:rPr>
      </w:pPr>
      <w:r w:rsidRPr="00BE536E">
        <w:rPr>
          <w:rFonts w:ascii="Verdana" w:hAnsi="Verdana"/>
          <w:b/>
          <w:color w:val="943634"/>
        </w:rPr>
        <w:lastRenderedPageBreak/>
        <w:t xml:space="preserve">МСФО - </w:t>
      </w:r>
      <w:r w:rsidRPr="00BE536E">
        <w:rPr>
          <w:rFonts w:ascii="Verdana" w:hAnsi="Verdana"/>
        </w:rPr>
        <w:t>международные стандарты финансовой отчетности</w:t>
      </w:r>
      <w:r w:rsidR="00261A14" w:rsidRPr="00BE536E">
        <w:rPr>
          <w:rFonts w:ascii="Verdana" w:hAnsi="Verdana"/>
        </w:rPr>
        <w:t xml:space="preserve">. Определение </w:t>
      </w:r>
      <w:r w:rsidR="00182E2B" w:rsidRPr="00BE536E">
        <w:rPr>
          <w:rFonts w:ascii="Verdana" w:hAnsi="Verdana"/>
        </w:rPr>
        <w:t xml:space="preserve">справедливой стоимости активов и величины обязательств </w:t>
      </w:r>
      <w:r w:rsidR="00261A14" w:rsidRPr="00BE536E">
        <w:rPr>
          <w:rFonts w:ascii="Verdana" w:hAnsi="Verdana"/>
        </w:rPr>
        <w:t xml:space="preserve">производится в соответствии с </w:t>
      </w:r>
      <w:r w:rsidR="00182E2B" w:rsidRPr="00BE536E">
        <w:rPr>
          <w:rFonts w:ascii="Verdana" w:hAnsi="Verdana"/>
        </w:rPr>
        <w:t xml:space="preserve">Международным стандартом финансовой отчетности </w:t>
      </w:r>
      <w:r w:rsidR="00ED0353" w:rsidRPr="00BE536E">
        <w:rPr>
          <w:rFonts w:ascii="Verdana" w:hAnsi="Verdana"/>
        </w:rPr>
        <w:t xml:space="preserve">(IFRS) 13 "Оценка справедливой стоимости", введенным в действие на территории Российской Федерации приказом Министерства финансов Российской Федерации от </w:t>
      </w:r>
      <w:r w:rsidR="00511D96" w:rsidRPr="00BE536E">
        <w:rPr>
          <w:rFonts w:ascii="Verdana" w:hAnsi="Verdana"/>
        </w:rPr>
        <w:t>28</w:t>
      </w:r>
      <w:r w:rsidR="00ED0353" w:rsidRPr="00BE536E">
        <w:rPr>
          <w:rFonts w:ascii="Verdana" w:hAnsi="Verdana"/>
        </w:rPr>
        <w:t xml:space="preserve"> </w:t>
      </w:r>
      <w:r w:rsidR="00511D96" w:rsidRPr="00BE536E">
        <w:rPr>
          <w:rFonts w:ascii="Verdana" w:hAnsi="Verdana"/>
        </w:rPr>
        <w:t xml:space="preserve">декабря </w:t>
      </w:r>
      <w:r w:rsidR="00ED0353" w:rsidRPr="00BE536E">
        <w:rPr>
          <w:rFonts w:ascii="Verdana" w:hAnsi="Verdana"/>
        </w:rPr>
        <w:t>201</w:t>
      </w:r>
      <w:r w:rsidR="00511D96" w:rsidRPr="00BE536E">
        <w:rPr>
          <w:rFonts w:ascii="Verdana" w:hAnsi="Verdana"/>
        </w:rPr>
        <w:t>5</w:t>
      </w:r>
      <w:r w:rsidR="00ED0353" w:rsidRPr="00BE536E">
        <w:rPr>
          <w:rFonts w:ascii="Verdana" w:hAnsi="Verdana"/>
        </w:rPr>
        <w:t xml:space="preserve"> года № </w:t>
      </w:r>
      <w:r w:rsidR="00511D96" w:rsidRPr="00BE536E">
        <w:rPr>
          <w:rFonts w:ascii="Verdana" w:hAnsi="Verdana"/>
        </w:rPr>
        <w:t>217н</w:t>
      </w:r>
      <w:r w:rsidR="00ED0353" w:rsidRPr="00BE536E">
        <w:rPr>
          <w:rFonts w:ascii="Verdana" w:hAnsi="Verdana"/>
        </w:rPr>
        <w:t xml:space="preserve"> «О введении Международных стандартов финансовой отчетности</w:t>
      </w:r>
      <w:r w:rsidR="00182E2B" w:rsidRPr="00BE536E">
        <w:rPr>
          <w:rFonts w:ascii="Verdana" w:hAnsi="Verdana"/>
        </w:rPr>
        <w:t xml:space="preserve"> и Разъяснений Международных стандартов финансовой отчетности в действие </w:t>
      </w:r>
      <w:r w:rsidR="00ED0353" w:rsidRPr="00BE536E">
        <w:rPr>
          <w:rFonts w:ascii="Verdana" w:hAnsi="Verdana"/>
        </w:rPr>
        <w:t>на территории Российской Федераци</w:t>
      </w:r>
      <w:r w:rsidR="00852887" w:rsidRPr="00BE536E">
        <w:rPr>
          <w:rFonts w:ascii="Verdana" w:hAnsi="Verdana"/>
        </w:rPr>
        <w:t>и</w:t>
      </w:r>
      <w:r w:rsidR="00182E2B" w:rsidRPr="00BE536E">
        <w:rPr>
          <w:rFonts w:ascii="Verdana" w:hAnsi="Verdana"/>
        </w:rPr>
        <w:t xml:space="preserve"> и о признании утратившими силу некоторых приказов (отдельных положений приказов) Министерства финансов Российской Федерации</w:t>
      </w:r>
      <w:r w:rsidR="00852887" w:rsidRPr="00BE536E">
        <w:rPr>
          <w:rFonts w:ascii="Verdana" w:hAnsi="Verdana"/>
        </w:rPr>
        <w:t>» с учетом требований Указания</w:t>
      </w:r>
      <w:r w:rsidR="00261A14" w:rsidRPr="00BE536E">
        <w:rPr>
          <w:rFonts w:ascii="Verdana" w:hAnsi="Verdana"/>
        </w:rPr>
        <w:t xml:space="preserve"> Центрального Банка Российской Федерации от 25 августа 2015 года  № 3758-У</w:t>
      </w:r>
      <w:r w:rsidR="00852887" w:rsidRPr="00BE536E">
        <w:rPr>
          <w:rFonts w:ascii="Verdana" w:hAnsi="Verdana"/>
        </w:rPr>
        <w:t>, включая</w:t>
      </w:r>
      <w:r w:rsidR="00ED0353" w:rsidRPr="00BE536E">
        <w:rPr>
          <w:rFonts w:ascii="Verdana" w:hAnsi="Verdana"/>
        </w:rPr>
        <w:t xml:space="preserve"> ины</w:t>
      </w:r>
      <w:r w:rsidR="00852887" w:rsidRPr="00BE536E">
        <w:rPr>
          <w:rFonts w:ascii="Verdana" w:hAnsi="Verdana"/>
        </w:rPr>
        <w:t>е</w:t>
      </w:r>
      <w:r w:rsidR="00ED0353" w:rsidRPr="00BE536E">
        <w:rPr>
          <w:rFonts w:ascii="Verdana" w:hAnsi="Verdana"/>
        </w:rPr>
        <w:t xml:space="preserve"> </w:t>
      </w:r>
      <w:r w:rsidR="00261A14" w:rsidRPr="00BE536E">
        <w:rPr>
          <w:rFonts w:ascii="Verdana" w:hAnsi="Verdana"/>
        </w:rPr>
        <w:t>МСФО</w:t>
      </w:r>
      <w:r w:rsidR="00AF7690" w:rsidRPr="00BE536E">
        <w:rPr>
          <w:rFonts w:ascii="Verdana" w:hAnsi="Verdana"/>
        </w:rPr>
        <w:t>, применяемые в соответствии с действующим законодательством в отношении паевых инвестиционных фондов.</w:t>
      </w:r>
      <w:r w:rsidR="00852887" w:rsidRPr="00BE536E">
        <w:rPr>
          <w:rFonts w:ascii="Verdana" w:hAnsi="Verdana"/>
        </w:rPr>
        <w:t xml:space="preserve"> </w:t>
      </w:r>
    </w:p>
    <w:p w14:paraId="7CC7647E" w14:textId="77777777" w:rsidR="008C1454" w:rsidRPr="00BE536E" w:rsidRDefault="003E2F75" w:rsidP="00AF3F62">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t>Справедливая стоимость</w:t>
      </w:r>
      <w:r w:rsidR="008C1454" w:rsidRPr="00BE536E">
        <w:rPr>
          <w:rFonts w:ascii="Verdana" w:hAnsi="Verdana"/>
        </w:rPr>
        <w:t xml:space="preserve"> - </w:t>
      </w:r>
      <w:r w:rsidRPr="00BE536E">
        <w:rPr>
          <w:rFonts w:ascii="Verdana" w:hAnsi="Verdana"/>
        </w:rPr>
        <w:t>это цена, которая была бы получена при продаже актива или уплачена при передаче обязательства в ходе обычной сделки на основном (или наиболее выгодном) рынке на дату оценки в текущих рыночных условиях (то есть цена выхода), независимо от того, является ли такая цена непосредственно наблюдаемой или рассчитывается с использованием другого метода оценки.</w:t>
      </w:r>
    </w:p>
    <w:p w14:paraId="086738E7" w14:textId="77777777" w:rsidR="00777B4B" w:rsidRPr="00BE536E" w:rsidRDefault="003E2F75" w:rsidP="00AF3F62">
      <w:pPr>
        <w:autoSpaceDE w:val="0"/>
        <w:autoSpaceDN w:val="0"/>
        <w:adjustRightInd w:val="0"/>
        <w:spacing w:before="120" w:after="120" w:line="360" w:lineRule="auto"/>
        <w:jc w:val="both"/>
        <w:rPr>
          <w:rFonts w:ascii="Verdana" w:eastAsia="Times New Roman" w:hAnsi="Verdana" w:cs="Arial"/>
          <w:b/>
          <w:color w:val="943634"/>
        </w:rPr>
      </w:pPr>
      <w:r w:rsidRPr="00BE536E">
        <w:rPr>
          <w:rFonts w:ascii="Verdana" w:eastAsia="Times New Roman" w:hAnsi="Verdana" w:cs="Arial"/>
          <w:b/>
          <w:color w:val="943634"/>
          <w:lang w:eastAsia="ru-RU"/>
        </w:rPr>
        <w:t>Наблюдаемая и доступная биржевая площадка</w:t>
      </w:r>
      <w:r w:rsidRPr="00BE536E">
        <w:rPr>
          <w:rFonts w:ascii="Verdana" w:hAnsi="Verdana"/>
        </w:rPr>
        <w:t xml:space="preserve"> – торговая площадка российской и (или) иностранной биржи, закрепленная в Правилах определения СЧА к которой у Управляющей компании есть доступ, как напрямую, так и через финансовых посредников. Указанные биржевые площадки приведены в приложении </w:t>
      </w:r>
      <w:r w:rsidR="00634895" w:rsidRPr="00BE536E">
        <w:rPr>
          <w:rFonts w:ascii="Verdana" w:hAnsi="Verdana"/>
        </w:rPr>
        <w:t>3</w:t>
      </w:r>
      <w:r w:rsidRPr="00BE536E">
        <w:rPr>
          <w:rFonts w:ascii="Verdana" w:hAnsi="Verdana"/>
        </w:rPr>
        <w:t>.</w:t>
      </w:r>
    </w:p>
    <w:p w14:paraId="7AFEA498" w14:textId="77777777" w:rsidR="008C1454" w:rsidRPr="00BE536E" w:rsidRDefault="003E2F75" w:rsidP="00AF3F62">
      <w:pPr>
        <w:tabs>
          <w:tab w:val="left" w:pos="993"/>
        </w:tabs>
        <w:spacing w:before="120" w:after="120" w:line="360" w:lineRule="auto"/>
        <w:jc w:val="both"/>
        <w:rPr>
          <w:rFonts w:ascii="Verdana" w:eastAsia="Batang" w:hAnsi="Verdana"/>
          <w:color w:val="000000"/>
          <w:szCs w:val="24"/>
        </w:rPr>
      </w:pPr>
      <w:r w:rsidRPr="00BE536E">
        <w:rPr>
          <w:rFonts w:ascii="Verdana" w:hAnsi="Verdana" w:cs="Arial"/>
          <w:b/>
          <w:color w:val="943634"/>
        </w:rPr>
        <w:t>Активный рынок</w:t>
      </w:r>
      <w:r w:rsidR="008C1454" w:rsidRPr="00BE536E">
        <w:rPr>
          <w:rFonts w:ascii="Verdana" w:eastAsia="Batang" w:hAnsi="Verdana"/>
          <w:color w:val="000000"/>
          <w:szCs w:val="24"/>
        </w:rPr>
        <w:t xml:space="preserve"> </w:t>
      </w:r>
      <w:r w:rsidRPr="00BE536E">
        <w:rPr>
          <w:rFonts w:ascii="Verdana" w:hAnsi="Verdana"/>
        </w:rPr>
        <w:t>–  рынок, на котором операции с активом или обязательством проводятся с достаточной частотой и в достаточном объеме, позволяющем получать информацию об оценках активов или обязательств на постоянной основе.</w:t>
      </w:r>
      <w:r w:rsidR="008C1454" w:rsidRPr="00BE536E">
        <w:rPr>
          <w:rFonts w:ascii="Verdana" w:eastAsia="Batang" w:hAnsi="Verdana"/>
          <w:color w:val="000000"/>
          <w:szCs w:val="24"/>
        </w:rPr>
        <w:t xml:space="preserve"> </w:t>
      </w:r>
    </w:p>
    <w:p w14:paraId="15FD61A5" w14:textId="77777777" w:rsidR="008C1454" w:rsidRPr="00BE536E" w:rsidRDefault="003E2F75" w:rsidP="00AF3F62">
      <w:pPr>
        <w:tabs>
          <w:tab w:val="left" w:pos="993"/>
        </w:tabs>
        <w:spacing w:before="120" w:after="120" w:line="360" w:lineRule="auto"/>
        <w:jc w:val="both"/>
        <w:rPr>
          <w:rFonts w:ascii="Verdana" w:hAnsi="Verdana"/>
        </w:rPr>
      </w:pPr>
      <w:r w:rsidRPr="00BE536E">
        <w:rPr>
          <w:rFonts w:ascii="Verdana" w:hAnsi="Verdana" w:cs="Arial"/>
          <w:b/>
          <w:color w:val="943634"/>
        </w:rPr>
        <w:t>Основной рынок</w:t>
      </w:r>
      <w:r w:rsidR="008C1454" w:rsidRPr="00BE536E">
        <w:rPr>
          <w:rFonts w:ascii="Verdana" w:eastAsia="Batang" w:hAnsi="Verdana"/>
          <w:b/>
          <w:color w:val="000000"/>
          <w:szCs w:val="24"/>
        </w:rPr>
        <w:t xml:space="preserve"> -</w:t>
      </w:r>
      <w:r w:rsidR="008C1454" w:rsidRPr="00BE536E">
        <w:rPr>
          <w:rFonts w:ascii="Verdana" w:eastAsia="Batang" w:hAnsi="Verdana"/>
          <w:color w:val="000000"/>
          <w:szCs w:val="24"/>
        </w:rPr>
        <w:t xml:space="preserve"> </w:t>
      </w:r>
      <w:r w:rsidRPr="00BE536E">
        <w:rPr>
          <w:rFonts w:ascii="Verdana" w:hAnsi="Verdana"/>
        </w:rPr>
        <w:t>рынок (из числа активных) с наибольшим для соответствующего актива или обязательства объемом торгов и уровнем активности.</w:t>
      </w:r>
    </w:p>
    <w:p w14:paraId="3497A553" w14:textId="77777777" w:rsidR="00C73F04" w:rsidRPr="00BE536E" w:rsidRDefault="00C73F04" w:rsidP="000E30D2">
      <w:pPr>
        <w:autoSpaceDN w:val="0"/>
        <w:adjustRightInd w:val="0"/>
        <w:spacing w:line="360" w:lineRule="auto"/>
        <w:jc w:val="both"/>
        <w:rPr>
          <w:color w:val="000000" w:themeColor="text1"/>
          <w:sz w:val="24"/>
          <w:szCs w:val="24"/>
          <w:lang w:eastAsia="ru-RU"/>
        </w:rPr>
      </w:pPr>
      <w:r w:rsidRPr="00BE536E">
        <w:rPr>
          <w:rFonts w:ascii="Verdana" w:eastAsia="Times New Roman" w:hAnsi="Verdana" w:cs="Arial"/>
          <w:b/>
          <w:color w:val="943634"/>
          <w:lang w:eastAsia="ru-RU"/>
        </w:rPr>
        <w:lastRenderedPageBreak/>
        <w:t>Наиболее выгодный рынок</w:t>
      </w:r>
      <w:r w:rsidRPr="00BE536E">
        <w:rPr>
          <w:color w:val="000000" w:themeColor="text1"/>
          <w:sz w:val="24"/>
          <w:szCs w:val="24"/>
          <w:lang w:eastAsia="ru-RU"/>
        </w:rPr>
        <w:t xml:space="preserve"> – </w:t>
      </w:r>
      <w:r w:rsidRPr="00BE536E">
        <w:rPr>
          <w:rFonts w:ascii="Verdana" w:hAnsi="Verdana"/>
        </w:rPr>
        <w:t>рынок, на котором была бы получена максимальная сумма от продажи актива или уплачена минимальная сумма за то, чтобы передать обязательство</w:t>
      </w:r>
      <w:r w:rsidRPr="00BE536E">
        <w:rPr>
          <w:color w:val="000000" w:themeColor="text1"/>
          <w:sz w:val="24"/>
          <w:szCs w:val="24"/>
          <w:lang w:eastAsia="ru-RU"/>
        </w:rPr>
        <w:t>.</w:t>
      </w:r>
    </w:p>
    <w:p w14:paraId="38AE2556" w14:textId="77777777" w:rsidR="00717E0B" w:rsidRPr="00BE536E" w:rsidRDefault="00A17E4C" w:rsidP="00AF3F62">
      <w:pPr>
        <w:autoSpaceDE w:val="0"/>
        <w:autoSpaceDN w:val="0"/>
        <w:spacing w:before="120" w:after="120" w:line="360" w:lineRule="auto"/>
        <w:jc w:val="both"/>
        <w:rPr>
          <w:rFonts w:ascii="Verdana" w:hAnsi="Verdana"/>
        </w:rPr>
      </w:pPr>
      <w:r w:rsidRPr="00BE536E">
        <w:rPr>
          <w:rFonts w:ascii="Verdana" w:eastAsia="Times New Roman" w:hAnsi="Verdana" w:cs="Arial"/>
          <w:b/>
          <w:color w:val="943634"/>
          <w:lang w:eastAsia="ru-RU"/>
        </w:rPr>
        <w:t>Кредитный риск</w:t>
      </w:r>
      <w:r w:rsidRPr="00BE536E">
        <w:rPr>
          <w:rFonts w:ascii="Verdana" w:hAnsi="Verdana"/>
        </w:rPr>
        <w:t xml:space="preserve"> – риск возникновения убытка вследствие неисполнения контрагентом обязательств по договору, а также неоплаты контрагентом основного долга и/или процентов, причитающихся в установленный договором срок.</w:t>
      </w:r>
    </w:p>
    <w:p w14:paraId="0BDB3953" w14:textId="77777777" w:rsidR="00F91AE0" w:rsidRPr="00BE536E" w:rsidRDefault="00A17E4C" w:rsidP="00AF3F62">
      <w:pPr>
        <w:autoSpaceDE w:val="0"/>
        <w:autoSpaceDN w:val="0"/>
        <w:spacing w:before="120" w:after="120" w:line="360" w:lineRule="auto"/>
        <w:jc w:val="both"/>
        <w:rPr>
          <w:rFonts w:ascii="Verdana" w:hAnsi="Verdana"/>
        </w:rPr>
      </w:pPr>
      <w:r w:rsidRPr="00BE536E">
        <w:rPr>
          <w:rFonts w:ascii="Verdana" w:hAnsi="Verdana" w:cs="Arial"/>
          <w:b/>
          <w:color w:val="943634"/>
        </w:rPr>
        <w:t>Кредитный рейтинг</w:t>
      </w:r>
      <w:r w:rsidRPr="00BE536E">
        <w:rPr>
          <w:rFonts w:ascii="Verdana" w:hAnsi="Verdana"/>
        </w:rPr>
        <w:t xml:space="preserve"> – 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выраженным с использованием рейтинговой категории по определенной рейтинговой шкале.</w:t>
      </w:r>
    </w:p>
    <w:p w14:paraId="7432D9E6" w14:textId="77777777" w:rsidR="00717E0B" w:rsidRPr="00BE536E" w:rsidRDefault="00717E0B" w:rsidP="00AF3F62">
      <w:pPr>
        <w:tabs>
          <w:tab w:val="left" w:pos="993"/>
        </w:tabs>
        <w:spacing w:before="120" w:after="120" w:line="360" w:lineRule="auto"/>
        <w:jc w:val="both"/>
        <w:rPr>
          <w:rFonts w:ascii="Verdana" w:hAnsi="Verdana"/>
        </w:rPr>
      </w:pPr>
      <w:r w:rsidRPr="00BE536E">
        <w:rPr>
          <w:rFonts w:ascii="Verdana" w:hAnsi="Verdana" w:cs="Arial"/>
          <w:b/>
          <w:color w:val="943634"/>
        </w:rPr>
        <w:t>Уровни цен при определении справедливой стоимости</w:t>
      </w:r>
      <w:r w:rsidRPr="00BE536E">
        <w:rPr>
          <w:rFonts w:ascii="Verdana" w:hAnsi="Verdana"/>
        </w:rPr>
        <w:t xml:space="preserve"> определяются в соответствии с Международным стандартом финансовой отчетности (IFRS) 13 «Оценка справедливой стоимости», введенным в действие на территории Российской Федерации приказом Министерства финансов Российской Федерации от 28.12.2015 N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w:t>
      </w:r>
    </w:p>
    <w:p w14:paraId="5DDE47F6" w14:textId="77777777" w:rsidR="00124025" w:rsidRPr="00BE536E" w:rsidRDefault="00124025" w:rsidP="00124025">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t>Исходные данные Уровня 1</w:t>
      </w:r>
      <w:r w:rsidRPr="00BE536E">
        <w:rPr>
          <w:rFonts w:ascii="Verdana" w:eastAsia="Times New Roman" w:hAnsi="Verdana" w:cs="Arial"/>
          <w:color w:val="943634"/>
          <w:lang w:eastAsia="ru-RU"/>
        </w:rPr>
        <w:t xml:space="preserve"> - </w:t>
      </w:r>
      <w:r w:rsidRPr="00BE536E">
        <w:rPr>
          <w:rFonts w:ascii="Verdana" w:hAnsi="Verdana"/>
        </w:rPr>
        <w:t>ценовые котировки (нескорректированные) активных рынков в отношении идентичных активов или обязательств, к которым организация имеет доступ на дату оценки.</w:t>
      </w:r>
    </w:p>
    <w:p w14:paraId="337B8880" w14:textId="77777777" w:rsidR="00AC36BF" w:rsidRPr="00BE536E" w:rsidRDefault="00AC36BF" w:rsidP="00AC36BF">
      <w:pPr>
        <w:autoSpaceDN w:val="0"/>
        <w:adjustRightInd w:val="0"/>
        <w:spacing w:line="360" w:lineRule="auto"/>
        <w:jc w:val="both"/>
        <w:rPr>
          <w:rFonts w:ascii="Verdana" w:hAnsi="Verdana"/>
        </w:rPr>
      </w:pPr>
      <w:r w:rsidRPr="00BE536E">
        <w:rPr>
          <w:rFonts w:ascii="Verdana" w:hAnsi="Verdana"/>
        </w:rPr>
        <w:t>В рамках Уровня 1 акцент делается на определении следующего:</w:t>
      </w:r>
    </w:p>
    <w:p w14:paraId="25307210" w14:textId="77777777" w:rsidR="00AC36BF" w:rsidRPr="00BE536E" w:rsidRDefault="00AC36BF" w:rsidP="00AC36BF">
      <w:pPr>
        <w:autoSpaceDN w:val="0"/>
        <w:adjustRightInd w:val="0"/>
        <w:spacing w:line="360" w:lineRule="auto"/>
        <w:ind w:firstLine="708"/>
        <w:jc w:val="both"/>
        <w:rPr>
          <w:rFonts w:ascii="Verdana" w:hAnsi="Verdana"/>
        </w:rPr>
      </w:pPr>
      <w:r w:rsidRPr="00BE536E">
        <w:rPr>
          <w:rFonts w:ascii="Verdana" w:hAnsi="Verdana"/>
        </w:rPr>
        <w:t>(a) основного рынка для соответствующего актива или обязательства или, при отсутствии основного рынка, наиболее выгодного рынка для этого актива или обязательства; и</w:t>
      </w:r>
    </w:p>
    <w:p w14:paraId="4E94A84D" w14:textId="77777777" w:rsidR="00AC36BF" w:rsidRPr="00BE536E" w:rsidRDefault="00AC36BF" w:rsidP="00AC36BF">
      <w:pPr>
        <w:autoSpaceDN w:val="0"/>
        <w:adjustRightInd w:val="0"/>
        <w:spacing w:line="360" w:lineRule="auto"/>
        <w:ind w:firstLine="708"/>
        <w:jc w:val="both"/>
        <w:rPr>
          <w:rFonts w:ascii="Verdana" w:hAnsi="Verdana"/>
        </w:rPr>
      </w:pPr>
      <w:r w:rsidRPr="00BE536E">
        <w:rPr>
          <w:rFonts w:ascii="Verdana" w:hAnsi="Verdana"/>
        </w:rPr>
        <w:t>(b) может ли организация заключить сделку в отношении этого актива или обязательства по цене данного рынка на дату оценки.</w:t>
      </w:r>
    </w:p>
    <w:p w14:paraId="38097FAB" w14:textId="77777777" w:rsidR="00124025" w:rsidRPr="00BE536E" w:rsidRDefault="00124025" w:rsidP="00124025">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lastRenderedPageBreak/>
        <w:t>Исходные данные Уровня 2</w:t>
      </w:r>
      <w:r w:rsidRPr="00BE536E">
        <w:rPr>
          <w:rFonts w:ascii="Verdana" w:hAnsi="Verdana"/>
        </w:rPr>
        <w:t xml:space="preserve"> - исходные данные, кроме ценовых котировок, отнесенных к Уровню 1, которые являются наблюдаемыми, прямо или косвенно, в отношении определенного актива или обязательства.</w:t>
      </w:r>
    </w:p>
    <w:p w14:paraId="5F7399F6" w14:textId="77777777" w:rsidR="00124025" w:rsidRPr="00BE536E" w:rsidRDefault="00124025" w:rsidP="00124025">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t>Исходные данные Уровня 3</w:t>
      </w:r>
      <w:r w:rsidRPr="00BE536E">
        <w:rPr>
          <w:rFonts w:ascii="Verdana" w:hAnsi="Verdana"/>
        </w:rPr>
        <w:t xml:space="preserve"> - ненаблюдаемые исходные данные в отношении определенного актива или обязательства.</w:t>
      </w:r>
    </w:p>
    <w:p w14:paraId="70E66036" w14:textId="77777777" w:rsidR="00D919C7" w:rsidRPr="00BE536E" w:rsidRDefault="00D919C7" w:rsidP="00D94BA7">
      <w:pPr>
        <w:autoSpaceDE w:val="0"/>
        <w:autoSpaceDN w:val="0"/>
        <w:spacing w:before="120" w:after="120" w:line="360" w:lineRule="auto"/>
        <w:jc w:val="both"/>
        <w:rPr>
          <w:rFonts w:ascii="Verdana" w:hAnsi="Verdana"/>
        </w:rPr>
      </w:pPr>
      <w:r w:rsidRPr="00BE536E">
        <w:rPr>
          <w:rFonts w:ascii="Verdana" w:hAnsi="Verdana"/>
          <w:b/>
          <w:bCs/>
          <w:color w:val="943634"/>
          <w:lang w:eastAsia="ru-RU"/>
        </w:rPr>
        <w:t>Операционная дебиторская задолженность</w:t>
      </w:r>
      <w:r w:rsidRPr="00BE536E">
        <w:rPr>
          <w:rFonts w:ascii="Verdana" w:hAnsi="Verdana"/>
        </w:rPr>
        <w:t xml:space="preserve"> – дебиторская задолженность контрагента, возникающая в ходе нормального операционного цикла, которая будет погашена в течение сроков, установленных в настоящих Правилах определения СЧА. Допустимые сроки просрочки, установленные для операционной дебиторской задолженности, не должны приводить к признанию безнадежной к получению задолженности, а также к обесценению задолженности. Такая задолженность будет реализована управляющей компанией в полном объеме в сроки, укладывающиеся в нормальную рыночную (или внутреннюю) практику взаимодействия с конкретным видом дебиторской задолженности. Установленные сроки просрочки и исполнения обязательств не должны превышать рекомендуемых сроков в настоящих Правилах определения СЧА, если иное не подтверждено внутренней статистикой управляющей компании. Операционная дебиторская задолженность оценивается по номиналу в случае отсутствия иных факторов обесценения.</w:t>
      </w:r>
    </w:p>
    <w:p w14:paraId="5105DC65" w14:textId="77777777" w:rsidR="00E56876" w:rsidRPr="00BE536E" w:rsidRDefault="00E56876" w:rsidP="00E56876">
      <w:pPr>
        <w:autoSpaceDN w:val="0"/>
        <w:spacing w:before="120" w:after="120" w:line="360" w:lineRule="auto"/>
        <w:ind w:firstLine="708"/>
        <w:jc w:val="both"/>
        <w:rPr>
          <w:rFonts w:ascii="Verdana" w:hAnsi="Verdana"/>
        </w:rPr>
      </w:pPr>
      <w:r w:rsidRPr="00BE536E">
        <w:rPr>
          <w:rFonts w:ascii="Verdana" w:hAnsi="Verdana"/>
        </w:rPr>
        <w:t>Дебиторская задолженность, по которой выявлен один или несколько признаков обесценения, указанных в Приложении № 5 к настоящим Правилам, кроме допустимой просрочки обязательств в рамках операционного цикла, не может быть признана операционной.</w:t>
      </w:r>
    </w:p>
    <w:p w14:paraId="68E4F45E" w14:textId="77777777" w:rsidR="00E56876" w:rsidRPr="00BE536E" w:rsidRDefault="00E56876" w:rsidP="00E56876">
      <w:pPr>
        <w:autoSpaceDN w:val="0"/>
        <w:spacing w:before="120" w:after="120" w:line="360" w:lineRule="auto"/>
        <w:ind w:firstLine="708"/>
        <w:jc w:val="both"/>
        <w:rPr>
          <w:rFonts w:ascii="Verdana" w:hAnsi="Verdana"/>
        </w:rPr>
      </w:pPr>
      <w:r w:rsidRPr="00BE536E">
        <w:rPr>
          <w:rFonts w:ascii="Verdana" w:hAnsi="Verdana"/>
        </w:rPr>
        <w:t>Дебиторская задолженность с повышенным уровнем риска не возврата не может быть признана операционной.</w:t>
      </w:r>
    </w:p>
    <w:p w14:paraId="327FA6A5" w14:textId="77777777" w:rsidR="00E56876" w:rsidRPr="00BE536E" w:rsidRDefault="00E56876" w:rsidP="00E56876">
      <w:pPr>
        <w:autoSpaceDE w:val="0"/>
        <w:autoSpaceDN w:val="0"/>
        <w:spacing w:before="120" w:after="120" w:line="360" w:lineRule="auto"/>
        <w:jc w:val="both"/>
        <w:rPr>
          <w:rFonts w:ascii="Verdana" w:hAnsi="Verdana"/>
        </w:rPr>
      </w:pPr>
      <w:r w:rsidRPr="00BE536E">
        <w:rPr>
          <w:rFonts w:ascii="Verdana" w:eastAsia="Times New Roman" w:hAnsi="Verdana" w:cs="Arial"/>
          <w:b/>
          <w:color w:val="943634"/>
          <w:lang w:eastAsia="ru-RU"/>
        </w:rPr>
        <w:t>Экспертное (мотивированное) суждение</w:t>
      </w:r>
      <w:r w:rsidRPr="00BE536E">
        <w:rPr>
          <w:rFonts w:ascii="Verdana" w:hAnsi="Verdana"/>
        </w:rPr>
        <w:t xml:space="preserve"> – это документально оформленное профессиональное суждение Управляющей компании, содержащее обоснованные расчеты и выводы об оценке справедливой стоимости активов, о величинах, используемых в расчете справедливой стоимости, о выявленных основаниях признания/прекращения признания активов/обязательств, о выявленных признаках возникновения кредитных рисков и прочих обстоятельствах, которые влияют на оценку справедливой стоимости в соответствии с МСФО 13. Применение такого </w:t>
      </w:r>
      <w:r w:rsidRPr="00BE536E">
        <w:rPr>
          <w:rFonts w:ascii="Verdana" w:hAnsi="Verdana"/>
        </w:rPr>
        <w:lastRenderedPageBreak/>
        <w:t>суждения допустимо в случаях, установленных настоящими Правилами определения СЧА.</w:t>
      </w:r>
    </w:p>
    <w:p w14:paraId="6628E261" w14:textId="77777777" w:rsidR="00E56876" w:rsidRPr="00BE536E" w:rsidRDefault="00E56876" w:rsidP="00E56876">
      <w:pPr>
        <w:autoSpaceDE w:val="0"/>
        <w:autoSpaceDN w:val="0"/>
        <w:spacing w:before="120" w:after="120" w:line="360" w:lineRule="auto"/>
        <w:jc w:val="both"/>
        <w:rPr>
          <w:rFonts w:ascii="Verdana" w:hAnsi="Verdana"/>
        </w:rPr>
      </w:pPr>
      <w:r w:rsidRPr="00BE536E">
        <w:rPr>
          <w:rFonts w:ascii="Verdana" w:eastAsia="Times New Roman" w:hAnsi="Verdana" w:cs="Arial"/>
          <w:b/>
          <w:color w:val="943634"/>
          <w:lang w:eastAsia="ru-RU"/>
        </w:rPr>
        <w:t>Неквалифицированные финансовые инструменты (НФИ)</w:t>
      </w:r>
      <w:r w:rsidRPr="00BE536E">
        <w:rPr>
          <w:b/>
          <w:bCs/>
          <w:iCs/>
          <w:sz w:val="24"/>
          <w:szCs w:val="24"/>
        </w:rPr>
        <w:t xml:space="preserve"> – </w:t>
      </w:r>
      <w:r w:rsidRPr="00BE536E">
        <w:rPr>
          <w:rFonts w:ascii="Verdana" w:hAnsi="Verdana"/>
        </w:rPr>
        <w:t xml:space="preserve">входящие в состав активов паевого инвестиционного фонда ценные бумаги, являющиеся ценными бумагами в соответствии с личным законом лица, обязанного по ценным бумагам, но не квалифицированные в качестве ценных бумаг в </w:t>
      </w:r>
      <w:hyperlink r:id="rId8" w:history="1">
        <w:r w:rsidRPr="00BE536E">
          <w:rPr>
            <w:rFonts w:ascii="Verdana" w:hAnsi="Verdana"/>
          </w:rPr>
          <w:t>порядке</w:t>
        </w:r>
      </w:hyperlink>
      <w:r w:rsidRPr="00BE536E">
        <w:rPr>
          <w:rFonts w:ascii="Verdana" w:hAnsi="Verdana"/>
        </w:rPr>
        <w:t>, установленном Банком России</w:t>
      </w:r>
      <w:r w:rsidRPr="00BE536E">
        <w:rPr>
          <w:bCs/>
          <w:iCs/>
          <w:sz w:val="24"/>
          <w:szCs w:val="24"/>
        </w:rPr>
        <w:t>.</w:t>
      </w:r>
    </w:p>
    <w:p w14:paraId="4981864B" w14:textId="77777777" w:rsidR="00E56876" w:rsidRPr="00BE536E" w:rsidRDefault="00E56876" w:rsidP="00D94BA7">
      <w:pPr>
        <w:autoSpaceDE w:val="0"/>
        <w:autoSpaceDN w:val="0"/>
        <w:spacing w:before="120" w:after="120" w:line="360" w:lineRule="auto"/>
        <w:jc w:val="both"/>
        <w:rPr>
          <w:rFonts w:ascii="Verdana" w:hAnsi="Verdana"/>
        </w:rPr>
      </w:pPr>
    </w:p>
    <w:p w14:paraId="0909CA09" w14:textId="77777777" w:rsidR="00B43B66" w:rsidRPr="00BE536E" w:rsidRDefault="00B43B66" w:rsidP="00AF3F62">
      <w:pPr>
        <w:pStyle w:val="10"/>
        <w:numPr>
          <w:ilvl w:val="0"/>
          <w:numId w:val="0"/>
        </w:numPr>
        <w:spacing w:before="240" w:line="360" w:lineRule="auto"/>
        <w:jc w:val="both"/>
        <w:rPr>
          <w:rFonts w:ascii="Verdana" w:hAnsi="Verdana" w:cs="Arial"/>
          <w:caps/>
          <w:color w:val="943634"/>
          <w:sz w:val="24"/>
        </w:rPr>
      </w:pPr>
      <w:bookmarkStart w:id="1" w:name="_Toc27400748"/>
      <w:r w:rsidRPr="00BE536E">
        <w:rPr>
          <w:rFonts w:ascii="Verdana" w:hAnsi="Verdana" w:cs="Arial"/>
          <w:caps/>
          <w:color w:val="943634"/>
          <w:sz w:val="24"/>
        </w:rPr>
        <w:t>Общие положения</w:t>
      </w:r>
      <w:bookmarkEnd w:id="1"/>
    </w:p>
    <w:p w14:paraId="57986621" w14:textId="6EBA9BC3" w:rsidR="008632F3" w:rsidRPr="00BE536E" w:rsidRDefault="008632F3" w:rsidP="00AF3F62">
      <w:pPr>
        <w:spacing w:before="120" w:after="120" w:line="360" w:lineRule="auto"/>
        <w:jc w:val="both"/>
        <w:rPr>
          <w:rFonts w:ascii="Verdana" w:hAnsi="Verdana"/>
        </w:rPr>
      </w:pPr>
      <w:r w:rsidRPr="00BE536E">
        <w:rPr>
          <w:rFonts w:ascii="Verdana" w:hAnsi="Verdana"/>
        </w:rPr>
        <w:t>Настоящие Изменения и дополнения в Правила определения СЧА Закрытого паевого инвестиционного</w:t>
      </w:r>
      <w:r w:rsidR="00957466" w:rsidRPr="00BE536E">
        <w:rPr>
          <w:rFonts w:ascii="Verdana" w:hAnsi="Verdana"/>
        </w:rPr>
        <w:t xml:space="preserve"> </w:t>
      </w:r>
      <w:r w:rsidRPr="00BE536E">
        <w:rPr>
          <w:rFonts w:ascii="Verdana" w:hAnsi="Verdana"/>
        </w:rPr>
        <w:t>комбинированного</w:t>
      </w:r>
      <w:r w:rsidR="00D27E07" w:rsidRPr="00BE536E">
        <w:rPr>
          <w:rFonts w:ascii="Verdana" w:hAnsi="Verdana"/>
        </w:rPr>
        <w:t xml:space="preserve"> фонда</w:t>
      </w:r>
      <w:r w:rsidRPr="00BE536E">
        <w:rPr>
          <w:rFonts w:ascii="Verdana" w:hAnsi="Verdana"/>
        </w:rPr>
        <w:t xml:space="preserve"> </w:t>
      </w:r>
      <w:r w:rsidR="00E51B40" w:rsidRPr="00BE536E">
        <w:rPr>
          <w:rFonts w:ascii="Verdana" w:hAnsi="Verdana"/>
        </w:rPr>
        <w:t>«</w:t>
      </w:r>
      <w:r w:rsidR="00C24E73">
        <w:rPr>
          <w:rFonts w:ascii="Verdana" w:hAnsi="Verdana"/>
        </w:rPr>
        <w:t xml:space="preserve">ФОРТИС </w:t>
      </w:r>
      <w:r w:rsidR="00A3154D">
        <w:rPr>
          <w:rFonts w:ascii="Verdana" w:hAnsi="Verdana"/>
        </w:rPr>
        <w:t>четырнадцатый</w:t>
      </w:r>
      <w:r w:rsidRPr="00BE536E">
        <w:rPr>
          <w:rFonts w:ascii="Verdana" w:hAnsi="Verdana"/>
        </w:rPr>
        <w:t>» (далее – Правила определения СЧА) разработаны в соответствии с Федеральным законом "Об инвестиционных фондах" № 156-ФЗ от 29 ноября 2001 года (далее - Федеральный закон "Об инвестиционных фондах"), в соответствии с Указанием Центрального Банка Российской Федерации от 25 августа 2015 года № 3758-У (далее – Указание № 3758-У), и принятыми в соответствии с ними нормативными актами.</w:t>
      </w:r>
    </w:p>
    <w:p w14:paraId="0C92D5EF" w14:textId="3965CAEB" w:rsidR="002A12F8" w:rsidRPr="00BE536E" w:rsidRDefault="00A13309" w:rsidP="00AF3F62">
      <w:pPr>
        <w:spacing w:before="120" w:after="120" w:line="360" w:lineRule="auto"/>
        <w:jc w:val="both"/>
        <w:rPr>
          <w:rFonts w:ascii="Verdana" w:hAnsi="Verdana"/>
        </w:rPr>
      </w:pPr>
      <w:r w:rsidRPr="00BE536E">
        <w:rPr>
          <w:rFonts w:ascii="Verdana" w:hAnsi="Verdana"/>
        </w:rPr>
        <w:t xml:space="preserve">Настоящие Правила определения СЧА применяются </w:t>
      </w:r>
      <w:r w:rsidR="00454C62" w:rsidRPr="00454C62">
        <w:rPr>
          <w:rFonts w:ascii="Verdana" w:hAnsi="Verdana"/>
        </w:rPr>
        <w:t xml:space="preserve"> с </w:t>
      </w:r>
      <w:r w:rsidR="00FB3B2A">
        <w:rPr>
          <w:rFonts w:ascii="Verdana" w:hAnsi="Verdana"/>
        </w:rPr>
        <w:t>даты начала формирования ПИФ</w:t>
      </w:r>
      <w:r w:rsidR="00224F6F">
        <w:rPr>
          <w:rFonts w:ascii="Verdana" w:hAnsi="Verdana"/>
        </w:rPr>
        <w:t>.</w:t>
      </w:r>
      <w:r w:rsidR="009F3CE4" w:rsidRPr="00BE536E">
        <w:rPr>
          <w:rFonts w:ascii="Verdana" w:hAnsi="Verdana"/>
        </w:rPr>
        <w:t xml:space="preserve"> </w:t>
      </w:r>
    </w:p>
    <w:p w14:paraId="7825F269" w14:textId="77777777" w:rsidR="00451E97" w:rsidRPr="00BE536E" w:rsidRDefault="00451E97" w:rsidP="00AF3F62">
      <w:pPr>
        <w:spacing w:before="120" w:after="120" w:line="360" w:lineRule="auto"/>
        <w:jc w:val="both"/>
        <w:rPr>
          <w:rFonts w:ascii="Verdana" w:hAnsi="Verdana" w:cs="Verdana"/>
        </w:rPr>
      </w:pPr>
      <w:r w:rsidRPr="00BE536E">
        <w:rPr>
          <w:rFonts w:ascii="Verdana" w:hAnsi="Verdana"/>
        </w:rPr>
        <w:t xml:space="preserve">Изменения и дополнения в настоящие Правила определения СЧА могут быть внесены в случаях, установленных нормативными правовыми актами. </w:t>
      </w:r>
      <w:r w:rsidRPr="00BE536E">
        <w:rPr>
          <w:rFonts w:ascii="Verdana" w:hAnsi="Verdana" w:cs="Verdana"/>
        </w:rPr>
        <w:t>В случае необходимости внесения изменений и дополнений в Правила определения СЧА к ним прилагается пояснение причин внесения таких изменений и дополнений</w:t>
      </w:r>
      <w:r w:rsidR="00F75F8C" w:rsidRPr="00BE536E">
        <w:rPr>
          <w:rFonts w:ascii="Verdana" w:hAnsi="Verdana" w:cs="Verdana"/>
        </w:rPr>
        <w:t xml:space="preserve"> и </w:t>
      </w:r>
      <w:r w:rsidR="005C71ED" w:rsidRPr="00BE536E">
        <w:rPr>
          <w:rFonts w:ascii="Verdana" w:hAnsi="Verdana" w:cs="Verdana"/>
        </w:rPr>
        <w:t xml:space="preserve">указывается </w:t>
      </w:r>
      <w:r w:rsidR="00F75F8C" w:rsidRPr="00BE536E">
        <w:rPr>
          <w:rFonts w:ascii="Verdana" w:hAnsi="Verdana" w:cs="Verdana"/>
        </w:rPr>
        <w:t>дата начала применения изменени</w:t>
      </w:r>
      <w:r w:rsidR="001E11F4" w:rsidRPr="00BE536E">
        <w:rPr>
          <w:rFonts w:ascii="Verdana" w:hAnsi="Verdana" w:cs="Verdana"/>
        </w:rPr>
        <w:t>й</w:t>
      </w:r>
      <w:r w:rsidR="00F75F8C" w:rsidRPr="00BE536E">
        <w:rPr>
          <w:rFonts w:ascii="Verdana" w:hAnsi="Verdana" w:cs="Verdana"/>
        </w:rPr>
        <w:t xml:space="preserve"> и дополнений в настоящие Правила определения СЧА.</w:t>
      </w:r>
    </w:p>
    <w:p w14:paraId="62D19603" w14:textId="77777777" w:rsidR="00AF3F62" w:rsidRPr="00BE536E" w:rsidRDefault="00AF3F62" w:rsidP="00AF3F62">
      <w:pPr>
        <w:pStyle w:val="10"/>
        <w:numPr>
          <w:ilvl w:val="0"/>
          <w:numId w:val="0"/>
        </w:numPr>
        <w:spacing w:before="240" w:line="360" w:lineRule="auto"/>
        <w:jc w:val="both"/>
        <w:rPr>
          <w:rFonts w:ascii="Verdana" w:hAnsi="Verdana" w:cs="Arial"/>
          <w:caps/>
          <w:color w:val="943634"/>
          <w:sz w:val="24"/>
        </w:rPr>
      </w:pPr>
      <w:bookmarkStart w:id="2" w:name="_Toc27400749"/>
      <w:r w:rsidRPr="00BE536E">
        <w:rPr>
          <w:rFonts w:ascii="Verdana" w:hAnsi="Verdana" w:cs="Arial"/>
          <w:caps/>
          <w:color w:val="943634"/>
          <w:sz w:val="24"/>
        </w:rPr>
        <w:t xml:space="preserve">Порядок </w:t>
      </w:r>
      <w:r w:rsidR="00211A11" w:rsidRPr="00BE536E">
        <w:rPr>
          <w:rFonts w:ascii="Verdana" w:hAnsi="Verdana" w:cs="Arial"/>
          <w:caps/>
          <w:color w:val="943634"/>
          <w:sz w:val="24"/>
        </w:rPr>
        <w:t>раскрытия правил определения СЧА</w:t>
      </w:r>
      <w:bookmarkEnd w:id="2"/>
    </w:p>
    <w:p w14:paraId="1D74D246" w14:textId="77777777" w:rsidR="008E71A5" w:rsidRPr="00BE536E" w:rsidRDefault="008E71A5" w:rsidP="008E71A5">
      <w:pPr>
        <w:autoSpaceDE w:val="0"/>
        <w:autoSpaceDN w:val="0"/>
        <w:adjustRightInd w:val="0"/>
        <w:spacing w:after="0" w:line="360" w:lineRule="auto"/>
        <w:ind w:firstLine="567"/>
        <w:jc w:val="both"/>
        <w:rPr>
          <w:rFonts w:ascii="Verdana" w:eastAsia="Times New Roman" w:hAnsi="Verdana" w:cs="Verdana"/>
          <w:lang w:eastAsia="ru-RU"/>
        </w:rPr>
      </w:pPr>
      <w:r w:rsidRPr="00BE536E">
        <w:rPr>
          <w:rFonts w:ascii="Verdana" w:eastAsia="Times New Roman" w:hAnsi="Verdana" w:cs="Verdana"/>
          <w:lang w:eastAsia="ru-RU"/>
        </w:rPr>
        <w:t xml:space="preserve">Правила определения СЧА (изменения и дополнения, вносимые в Правила определения СЧА): </w:t>
      </w:r>
    </w:p>
    <w:p w14:paraId="25B39176" w14:textId="77777777" w:rsidR="008E71A5" w:rsidRPr="00BE536E" w:rsidRDefault="008E71A5" w:rsidP="008E71A5">
      <w:pPr>
        <w:autoSpaceDE w:val="0"/>
        <w:autoSpaceDN w:val="0"/>
        <w:adjustRightInd w:val="0"/>
        <w:spacing w:after="0" w:line="360" w:lineRule="auto"/>
        <w:jc w:val="both"/>
        <w:rPr>
          <w:rFonts w:ascii="Verdana" w:eastAsia="Times New Roman" w:hAnsi="Verdana" w:cs="Verdana"/>
          <w:lang w:eastAsia="ru-RU"/>
        </w:rPr>
      </w:pPr>
      <w:r w:rsidRPr="00BE536E">
        <w:rPr>
          <w:rFonts w:ascii="Verdana" w:eastAsia="Times New Roman" w:hAnsi="Verdana" w:cs="Verdana"/>
          <w:lang w:eastAsia="ru-RU"/>
        </w:rPr>
        <w:t>- предоставляются управляющей компанией по требованию заинтересованных лиц;</w:t>
      </w:r>
    </w:p>
    <w:p w14:paraId="74E02106" w14:textId="77777777" w:rsidR="008E71A5" w:rsidRPr="00BE536E" w:rsidRDefault="008E71A5" w:rsidP="00567222">
      <w:pPr>
        <w:spacing w:line="360" w:lineRule="auto"/>
        <w:jc w:val="both"/>
        <w:rPr>
          <w:rFonts w:ascii="Verdana" w:eastAsia="Times New Roman" w:hAnsi="Verdana" w:cs="Verdana"/>
          <w:lang w:eastAsia="ru-RU"/>
        </w:rPr>
      </w:pPr>
      <w:r w:rsidRPr="00BE536E">
        <w:rPr>
          <w:rFonts w:ascii="Verdana" w:eastAsia="Times New Roman" w:hAnsi="Verdana" w:cs="Verdana"/>
          <w:lang w:eastAsia="ru-RU"/>
        </w:rPr>
        <w:lastRenderedPageBreak/>
        <w:t>- изменения и дополнения в Правила определения СЧА предоставляются владельцам инвестиционных паев ПИФ не позднее пяти рабочих дней до начала применения Правил определения СЧА, с внесенными изменениями и дополнениями.</w:t>
      </w:r>
    </w:p>
    <w:p w14:paraId="555FD61E" w14:textId="77777777" w:rsidR="00833632" w:rsidRPr="00BE536E" w:rsidRDefault="00D70A46" w:rsidP="00AF3F62">
      <w:pPr>
        <w:pStyle w:val="10"/>
        <w:numPr>
          <w:ilvl w:val="0"/>
          <w:numId w:val="0"/>
        </w:numPr>
        <w:spacing w:before="240" w:line="360" w:lineRule="auto"/>
        <w:jc w:val="both"/>
        <w:rPr>
          <w:rFonts w:ascii="Verdana" w:hAnsi="Verdana" w:cs="Arial"/>
          <w:caps/>
          <w:color w:val="943634"/>
          <w:sz w:val="24"/>
        </w:rPr>
      </w:pPr>
      <w:bookmarkStart w:id="3" w:name="_Toc27400750"/>
      <w:r w:rsidRPr="00BE536E">
        <w:rPr>
          <w:rFonts w:ascii="Verdana" w:hAnsi="Verdana" w:cs="Arial"/>
          <w:caps/>
          <w:color w:val="943634"/>
          <w:sz w:val="24"/>
        </w:rPr>
        <w:t xml:space="preserve">Порядок определения </w:t>
      </w:r>
      <w:r w:rsidR="00CD3B40" w:rsidRPr="00BE536E">
        <w:rPr>
          <w:rFonts w:ascii="Verdana" w:hAnsi="Verdana" w:cs="Arial"/>
          <w:caps/>
          <w:color w:val="943634"/>
          <w:sz w:val="24"/>
        </w:rPr>
        <w:t>СЧА</w:t>
      </w:r>
      <w:r w:rsidRPr="00BE536E">
        <w:rPr>
          <w:rFonts w:ascii="Verdana" w:hAnsi="Verdana" w:cs="Arial"/>
          <w:caps/>
          <w:color w:val="943634"/>
          <w:sz w:val="24"/>
        </w:rPr>
        <w:t xml:space="preserve"> и среднегодовой </w:t>
      </w:r>
      <w:r w:rsidR="00CD3B40" w:rsidRPr="00BE536E">
        <w:rPr>
          <w:rFonts w:ascii="Verdana" w:hAnsi="Verdana" w:cs="Arial"/>
          <w:caps/>
          <w:color w:val="943634"/>
          <w:sz w:val="24"/>
        </w:rPr>
        <w:t>СЧА</w:t>
      </w:r>
      <w:r w:rsidRPr="00BE536E">
        <w:rPr>
          <w:rFonts w:ascii="Verdana" w:hAnsi="Verdana" w:cs="Arial"/>
          <w:caps/>
          <w:color w:val="943634"/>
          <w:sz w:val="24"/>
        </w:rPr>
        <w:t xml:space="preserve"> </w:t>
      </w:r>
      <w:r w:rsidR="00594E06" w:rsidRPr="00BE536E">
        <w:rPr>
          <w:rFonts w:ascii="Verdana" w:hAnsi="Verdana" w:cs="Arial"/>
          <w:caps/>
          <w:color w:val="943634"/>
          <w:sz w:val="24"/>
        </w:rPr>
        <w:t>ПИФ</w:t>
      </w:r>
      <w:bookmarkEnd w:id="3"/>
      <w:r w:rsidRPr="00BE536E">
        <w:rPr>
          <w:rFonts w:ascii="Verdana" w:hAnsi="Verdana" w:cs="Arial"/>
          <w:caps/>
          <w:color w:val="943634"/>
          <w:sz w:val="24"/>
        </w:rPr>
        <w:t xml:space="preserve"> </w:t>
      </w:r>
    </w:p>
    <w:p w14:paraId="58A62F50" w14:textId="77777777" w:rsidR="006A7400" w:rsidRPr="00BE536E" w:rsidRDefault="00C87A81" w:rsidP="00AF3F62">
      <w:pPr>
        <w:spacing w:before="120" w:after="120" w:line="360" w:lineRule="auto"/>
        <w:jc w:val="both"/>
        <w:rPr>
          <w:rFonts w:ascii="Verdana" w:hAnsi="Verdana"/>
        </w:rPr>
      </w:pPr>
      <w:r w:rsidRPr="00BE536E">
        <w:rPr>
          <w:rFonts w:ascii="Verdana" w:hAnsi="Verdana"/>
        </w:rPr>
        <w:t>СЧА</w:t>
      </w:r>
      <w:r w:rsidR="006A7400" w:rsidRPr="00BE536E">
        <w:rPr>
          <w:rFonts w:ascii="Verdana" w:hAnsi="Verdana"/>
        </w:rPr>
        <w:t xml:space="preserve"> </w:t>
      </w:r>
      <w:r w:rsidR="00594E06" w:rsidRPr="00BE536E">
        <w:rPr>
          <w:rFonts w:ascii="Verdana" w:hAnsi="Verdana"/>
        </w:rPr>
        <w:t xml:space="preserve">ПИФ </w:t>
      </w:r>
      <w:r w:rsidR="006A7400" w:rsidRPr="00BE536E">
        <w:rPr>
          <w:rFonts w:ascii="Verdana" w:hAnsi="Verdana"/>
        </w:rPr>
        <w:t xml:space="preserve">определяется по состоянию на </w:t>
      </w:r>
      <w:r w:rsidR="0035557A" w:rsidRPr="00BE536E">
        <w:rPr>
          <w:rFonts w:ascii="Verdana" w:hAnsi="Verdana"/>
        </w:rPr>
        <w:t xml:space="preserve">23:59:59 даты, за которую рассчитывается </w:t>
      </w:r>
      <w:r w:rsidRPr="00BE536E">
        <w:rPr>
          <w:rFonts w:ascii="Verdana" w:hAnsi="Verdana"/>
        </w:rPr>
        <w:t>СЧА</w:t>
      </w:r>
      <w:r w:rsidR="0035557A" w:rsidRPr="00BE536E">
        <w:rPr>
          <w:rFonts w:ascii="Verdana" w:hAnsi="Verdana"/>
        </w:rPr>
        <w:t xml:space="preserve">, с учетом данных, раскрытых </w:t>
      </w:r>
      <w:r w:rsidR="00191E55" w:rsidRPr="00BE536E">
        <w:rPr>
          <w:rFonts w:ascii="Verdana" w:hAnsi="Verdana"/>
        </w:rPr>
        <w:t>на</w:t>
      </w:r>
      <w:r w:rsidR="0035557A" w:rsidRPr="00BE536E">
        <w:rPr>
          <w:rFonts w:ascii="Verdana" w:hAnsi="Verdana"/>
        </w:rPr>
        <w:t xml:space="preserve"> указанную дату в доступных для управляющей компании источниках, вне зависимости от часового пояса</w:t>
      </w:r>
      <w:r w:rsidR="006A7400" w:rsidRPr="00BE536E">
        <w:rPr>
          <w:rFonts w:ascii="Verdana" w:hAnsi="Verdana"/>
        </w:rPr>
        <w:t>.</w:t>
      </w:r>
    </w:p>
    <w:p w14:paraId="7A71F7E9" w14:textId="77777777" w:rsidR="006A7400" w:rsidRPr="00BE536E" w:rsidRDefault="00C87A81" w:rsidP="00AF3F62">
      <w:pPr>
        <w:autoSpaceDE w:val="0"/>
        <w:autoSpaceDN w:val="0"/>
        <w:adjustRightInd w:val="0"/>
        <w:spacing w:before="120" w:after="120" w:line="360" w:lineRule="auto"/>
        <w:jc w:val="both"/>
        <w:rPr>
          <w:rFonts w:ascii="Verdana" w:hAnsi="Verdana"/>
        </w:rPr>
      </w:pPr>
      <w:r w:rsidRPr="00BE536E">
        <w:rPr>
          <w:rFonts w:ascii="Verdana" w:hAnsi="Verdana"/>
        </w:rPr>
        <w:t>СЧА</w:t>
      </w:r>
      <w:r w:rsidR="006A7400" w:rsidRPr="00BE536E">
        <w:rPr>
          <w:rFonts w:ascii="Verdana" w:hAnsi="Verdana"/>
        </w:rPr>
        <w:t xml:space="preserve"> определяется не позднее рабочего дня, следующего за днем, по состоянию на который осуществляется определение </w:t>
      </w:r>
      <w:r w:rsidRPr="00BE536E">
        <w:rPr>
          <w:rFonts w:ascii="Verdana" w:hAnsi="Verdana"/>
        </w:rPr>
        <w:t>СЧА</w:t>
      </w:r>
      <w:r w:rsidR="006A7400" w:rsidRPr="00BE536E">
        <w:rPr>
          <w:rFonts w:ascii="Verdana" w:hAnsi="Verdana"/>
        </w:rPr>
        <w:t>.</w:t>
      </w:r>
    </w:p>
    <w:p w14:paraId="01409C69" w14:textId="77777777" w:rsidR="0014321A" w:rsidRPr="00BE536E" w:rsidRDefault="00C87A81" w:rsidP="00AF3F62">
      <w:pPr>
        <w:spacing w:before="120" w:after="120" w:line="360" w:lineRule="auto"/>
        <w:jc w:val="both"/>
        <w:rPr>
          <w:rFonts w:ascii="Verdana" w:hAnsi="Verdana"/>
        </w:rPr>
      </w:pPr>
      <w:r w:rsidRPr="00BE536E">
        <w:rPr>
          <w:rFonts w:ascii="Verdana" w:hAnsi="Verdana"/>
        </w:rPr>
        <w:t>СЧА</w:t>
      </w:r>
      <w:r w:rsidR="0014321A" w:rsidRPr="00BE536E">
        <w:rPr>
          <w:rFonts w:ascii="Verdana" w:hAnsi="Verdana"/>
        </w:rPr>
        <w:t xml:space="preserve"> определяется </w:t>
      </w:r>
      <w:r w:rsidR="00F36746" w:rsidRPr="00BE536E">
        <w:rPr>
          <w:rFonts w:ascii="Verdana" w:hAnsi="Verdana"/>
        </w:rPr>
        <w:t xml:space="preserve">в соответствии с настоящими Правилами </w:t>
      </w:r>
      <w:r w:rsidR="0014321A" w:rsidRPr="00BE536E">
        <w:rPr>
          <w:rFonts w:ascii="Verdana" w:hAnsi="Verdana"/>
        </w:rPr>
        <w:t>как разница между стоимостью актив</w:t>
      </w:r>
      <w:r w:rsidR="00915D33" w:rsidRPr="00BE536E">
        <w:rPr>
          <w:rFonts w:ascii="Verdana" w:hAnsi="Verdana"/>
        </w:rPr>
        <w:t>ов</w:t>
      </w:r>
      <w:r w:rsidR="0014321A" w:rsidRPr="00BE536E">
        <w:rPr>
          <w:rFonts w:ascii="Verdana" w:hAnsi="Verdana"/>
        </w:rPr>
        <w:t xml:space="preserve"> и обязательств на момент определения </w:t>
      </w:r>
      <w:r w:rsidRPr="00BE536E">
        <w:rPr>
          <w:rFonts w:ascii="Verdana" w:hAnsi="Verdana"/>
        </w:rPr>
        <w:t>СЧА</w:t>
      </w:r>
      <w:r w:rsidR="00C0718E" w:rsidRPr="00BE536E">
        <w:rPr>
          <w:rFonts w:ascii="Verdana" w:hAnsi="Verdana"/>
        </w:rPr>
        <w:t>.</w:t>
      </w:r>
      <w:r w:rsidR="0014321A" w:rsidRPr="00BE536E">
        <w:rPr>
          <w:rFonts w:ascii="Verdana" w:hAnsi="Verdana"/>
        </w:rPr>
        <w:t xml:space="preserve"> </w:t>
      </w:r>
    </w:p>
    <w:p w14:paraId="26BD17E0" w14:textId="77777777" w:rsidR="00867137" w:rsidRPr="00BE536E" w:rsidRDefault="00334C27" w:rsidP="00AF3F62">
      <w:pPr>
        <w:autoSpaceDE w:val="0"/>
        <w:autoSpaceDN w:val="0"/>
        <w:adjustRightInd w:val="0"/>
        <w:spacing w:before="120" w:after="120" w:line="360" w:lineRule="auto"/>
        <w:jc w:val="both"/>
        <w:rPr>
          <w:rFonts w:ascii="Verdana" w:hAnsi="Verdana"/>
        </w:rPr>
      </w:pPr>
      <w:r w:rsidRPr="00BE536E">
        <w:rPr>
          <w:rFonts w:ascii="Verdana" w:hAnsi="Verdana"/>
        </w:rPr>
        <w:t>СЧА</w:t>
      </w:r>
      <w:r w:rsidR="006A7400" w:rsidRPr="00BE536E">
        <w:rPr>
          <w:rFonts w:ascii="Verdana" w:hAnsi="Verdana"/>
        </w:rPr>
        <w:t xml:space="preserve"> </w:t>
      </w:r>
      <w:r w:rsidR="00594E06" w:rsidRPr="00BE536E">
        <w:rPr>
          <w:rFonts w:ascii="Verdana" w:hAnsi="Verdana"/>
        </w:rPr>
        <w:t xml:space="preserve">ПИФ </w:t>
      </w:r>
      <w:r w:rsidR="006A7400" w:rsidRPr="00BE536E">
        <w:rPr>
          <w:rFonts w:ascii="Verdana" w:hAnsi="Verdana"/>
        </w:rPr>
        <w:t>определяется</w:t>
      </w:r>
      <w:r w:rsidR="00F21035" w:rsidRPr="00BE536E">
        <w:rPr>
          <w:rFonts w:ascii="Verdana" w:hAnsi="Verdana"/>
        </w:rPr>
        <w:t xml:space="preserve"> (дата определения СЧА)</w:t>
      </w:r>
      <w:r w:rsidR="00AF3F62" w:rsidRPr="00BE536E">
        <w:rPr>
          <w:rFonts w:ascii="Verdana" w:hAnsi="Verdana"/>
        </w:rPr>
        <w:t>:</w:t>
      </w:r>
    </w:p>
    <w:p w14:paraId="3F49BAE7" w14:textId="77777777" w:rsidR="00A65714" w:rsidRPr="00BE536E" w:rsidRDefault="00961EDC" w:rsidP="00567222">
      <w:pPr>
        <w:numPr>
          <w:ilvl w:val="0"/>
          <w:numId w:val="17"/>
        </w:numPr>
        <w:autoSpaceDE w:val="0"/>
        <w:autoSpaceDN w:val="0"/>
        <w:adjustRightInd w:val="0"/>
        <w:spacing w:after="0" w:line="360" w:lineRule="auto"/>
        <w:ind w:left="993" w:hanging="284"/>
        <w:jc w:val="both"/>
        <w:rPr>
          <w:rFonts w:ascii="Verdana" w:hAnsi="Verdana"/>
        </w:rPr>
      </w:pPr>
      <w:r w:rsidRPr="00BE536E">
        <w:rPr>
          <w:rFonts w:ascii="Verdana" w:hAnsi="Verdana"/>
        </w:rPr>
        <w:t xml:space="preserve">на дату завершения (окончания) формирования </w:t>
      </w:r>
      <w:r w:rsidR="00334C27" w:rsidRPr="00BE536E">
        <w:rPr>
          <w:rFonts w:ascii="Verdana" w:hAnsi="Verdana"/>
        </w:rPr>
        <w:t>ПИФ</w:t>
      </w:r>
      <w:r w:rsidR="00D70A46" w:rsidRPr="00BE536E">
        <w:rPr>
          <w:rFonts w:ascii="Verdana" w:hAnsi="Verdana"/>
        </w:rPr>
        <w:t>;</w:t>
      </w:r>
    </w:p>
    <w:p w14:paraId="0A93FCB0" w14:textId="77777777" w:rsidR="006A7400" w:rsidRPr="00BE536E" w:rsidRDefault="006A7400" w:rsidP="00567222">
      <w:pPr>
        <w:numPr>
          <w:ilvl w:val="0"/>
          <w:numId w:val="17"/>
        </w:numPr>
        <w:autoSpaceDE w:val="0"/>
        <w:autoSpaceDN w:val="0"/>
        <w:adjustRightInd w:val="0"/>
        <w:spacing w:after="0" w:line="360" w:lineRule="auto"/>
        <w:ind w:left="993" w:hanging="284"/>
        <w:jc w:val="both"/>
        <w:rPr>
          <w:rFonts w:ascii="Verdana" w:hAnsi="Verdana"/>
        </w:rPr>
      </w:pPr>
      <w:r w:rsidRPr="00BE536E">
        <w:rPr>
          <w:rFonts w:ascii="Verdana" w:hAnsi="Verdana"/>
        </w:rPr>
        <w:t xml:space="preserve">в случае прекращения </w:t>
      </w:r>
      <w:r w:rsidR="00594E06" w:rsidRPr="00BE536E">
        <w:rPr>
          <w:rFonts w:ascii="Verdana" w:hAnsi="Verdana"/>
        </w:rPr>
        <w:t>ПИФ</w:t>
      </w:r>
      <w:r w:rsidRPr="00BE536E">
        <w:rPr>
          <w:rFonts w:ascii="Verdana" w:hAnsi="Verdana"/>
        </w:rPr>
        <w:t xml:space="preserve"> – на дату возникновения основания его прекращения</w:t>
      </w:r>
      <w:r w:rsidR="00C54464" w:rsidRPr="00BE536E">
        <w:rPr>
          <w:rFonts w:ascii="Verdana" w:hAnsi="Verdana"/>
        </w:rPr>
        <w:t>;</w:t>
      </w:r>
    </w:p>
    <w:p w14:paraId="6A518FC0" w14:textId="77777777" w:rsidR="00E12F31" w:rsidRPr="00BE536E" w:rsidRDefault="00E12F31" w:rsidP="00567222">
      <w:pPr>
        <w:numPr>
          <w:ilvl w:val="0"/>
          <w:numId w:val="17"/>
        </w:numPr>
        <w:autoSpaceDE w:val="0"/>
        <w:autoSpaceDN w:val="0"/>
        <w:adjustRightInd w:val="0"/>
        <w:spacing w:after="0" w:line="360" w:lineRule="auto"/>
        <w:ind w:left="993" w:hanging="284"/>
        <w:jc w:val="both"/>
        <w:rPr>
          <w:rFonts w:ascii="Verdana" w:hAnsi="Verdana"/>
        </w:rPr>
      </w:pPr>
      <w:r w:rsidRPr="00BE536E">
        <w:rPr>
          <w:rFonts w:ascii="Verdana" w:hAnsi="Verdana"/>
        </w:rPr>
        <w:t>на дату, предшествующую дате перехода фонда из одной управляющей компании в другую управляющую компанию или из одного специализированного депозитария в другой специализированный депозитарий;</w:t>
      </w:r>
    </w:p>
    <w:p w14:paraId="5604B235" w14:textId="77777777" w:rsidR="00D70A46" w:rsidRPr="00BE536E" w:rsidRDefault="006A7400" w:rsidP="00567222">
      <w:pPr>
        <w:numPr>
          <w:ilvl w:val="0"/>
          <w:numId w:val="17"/>
        </w:numPr>
        <w:autoSpaceDE w:val="0"/>
        <w:autoSpaceDN w:val="0"/>
        <w:adjustRightInd w:val="0"/>
        <w:spacing w:after="0" w:line="360" w:lineRule="auto"/>
        <w:ind w:left="993" w:hanging="284"/>
        <w:jc w:val="both"/>
        <w:rPr>
          <w:rFonts w:ascii="Verdana" w:hAnsi="Verdana"/>
        </w:rPr>
      </w:pPr>
      <w:r w:rsidRPr="00BE536E">
        <w:rPr>
          <w:rFonts w:ascii="Verdana" w:hAnsi="Verdana"/>
        </w:rPr>
        <w:t xml:space="preserve">после завершения (окончания) формирования </w:t>
      </w:r>
      <w:r w:rsidR="00CD3B40" w:rsidRPr="00BE536E">
        <w:rPr>
          <w:rFonts w:ascii="Verdana" w:hAnsi="Verdana"/>
        </w:rPr>
        <w:t>СЧА</w:t>
      </w:r>
      <w:r w:rsidRPr="00BE536E">
        <w:rPr>
          <w:rFonts w:ascii="Verdana" w:hAnsi="Verdana"/>
        </w:rPr>
        <w:t xml:space="preserve"> </w:t>
      </w:r>
      <w:r w:rsidR="00594E06" w:rsidRPr="00BE536E">
        <w:rPr>
          <w:rFonts w:ascii="Verdana" w:hAnsi="Verdana"/>
        </w:rPr>
        <w:t xml:space="preserve">ПИФ </w:t>
      </w:r>
      <w:r w:rsidRPr="00BE536E">
        <w:rPr>
          <w:rFonts w:ascii="Verdana" w:hAnsi="Verdana"/>
        </w:rPr>
        <w:t>определяется</w:t>
      </w:r>
      <w:r w:rsidR="00D70A46" w:rsidRPr="00BE536E">
        <w:rPr>
          <w:rFonts w:ascii="Verdana" w:hAnsi="Verdana"/>
        </w:rPr>
        <w:t xml:space="preserve"> в порядке:</w:t>
      </w:r>
    </w:p>
    <w:p w14:paraId="0D3585F5" w14:textId="77777777" w:rsidR="00535D1B" w:rsidRPr="00BE536E" w:rsidRDefault="00535D1B" w:rsidP="00D05311">
      <w:pPr>
        <w:numPr>
          <w:ilvl w:val="0"/>
          <w:numId w:val="42"/>
        </w:numPr>
        <w:autoSpaceDE w:val="0"/>
        <w:autoSpaceDN w:val="0"/>
        <w:adjustRightInd w:val="0"/>
        <w:spacing w:after="0" w:line="360" w:lineRule="auto"/>
        <w:jc w:val="both"/>
        <w:rPr>
          <w:rFonts w:ascii="Verdana" w:hAnsi="Verdana"/>
        </w:rPr>
      </w:pPr>
      <w:r w:rsidRPr="00BE536E">
        <w:rPr>
          <w:rFonts w:ascii="Verdana" w:hAnsi="Verdana"/>
        </w:rPr>
        <w:t>ежемесячно на последний рабочий день календарного месяца до календарного месяца, предшествующего месяцу, в котором ПИФ исключен из реестра ПИФ;</w:t>
      </w:r>
    </w:p>
    <w:p w14:paraId="5960AE4B" w14:textId="77777777" w:rsidR="00535D1B" w:rsidRPr="00BE536E" w:rsidRDefault="00535D1B" w:rsidP="00D05311">
      <w:pPr>
        <w:numPr>
          <w:ilvl w:val="0"/>
          <w:numId w:val="42"/>
        </w:numPr>
        <w:autoSpaceDE w:val="0"/>
        <w:autoSpaceDN w:val="0"/>
        <w:adjustRightInd w:val="0"/>
        <w:spacing w:after="0" w:line="360" w:lineRule="auto"/>
        <w:jc w:val="both"/>
        <w:rPr>
          <w:rFonts w:ascii="Verdana" w:hAnsi="Verdana"/>
        </w:rPr>
      </w:pPr>
      <w:r w:rsidRPr="00BE536E">
        <w:rPr>
          <w:rFonts w:ascii="Verdana" w:hAnsi="Verdana"/>
        </w:rPr>
        <w:t>на последний рабочий день срока приема заявок на приобретение инвестиционных паев, выдаваемых при досрочном погашении инвестиционных паев;</w:t>
      </w:r>
    </w:p>
    <w:p w14:paraId="6D0B461D" w14:textId="77777777" w:rsidR="00535D1B" w:rsidRPr="00BE536E" w:rsidRDefault="00535D1B" w:rsidP="00D05311">
      <w:pPr>
        <w:numPr>
          <w:ilvl w:val="0"/>
          <w:numId w:val="42"/>
        </w:numPr>
        <w:autoSpaceDE w:val="0"/>
        <w:autoSpaceDN w:val="0"/>
        <w:adjustRightInd w:val="0"/>
        <w:spacing w:after="0" w:line="360" w:lineRule="auto"/>
        <w:jc w:val="both"/>
        <w:rPr>
          <w:rFonts w:ascii="Verdana" w:hAnsi="Verdana"/>
        </w:rPr>
      </w:pPr>
      <w:r w:rsidRPr="00BE536E">
        <w:rPr>
          <w:rFonts w:ascii="Verdana" w:hAnsi="Verdana"/>
        </w:rPr>
        <w:t>на последний рабочий день срока приема заявок на приобретение дополнительных инвестиционных паев;</w:t>
      </w:r>
    </w:p>
    <w:p w14:paraId="648DC2B0" w14:textId="77777777" w:rsidR="00E12F31" w:rsidRPr="00BE536E" w:rsidRDefault="00E12F31" w:rsidP="00D05311">
      <w:pPr>
        <w:numPr>
          <w:ilvl w:val="0"/>
          <w:numId w:val="42"/>
        </w:numPr>
        <w:autoSpaceDE w:val="0"/>
        <w:autoSpaceDN w:val="0"/>
        <w:adjustRightInd w:val="0"/>
        <w:spacing w:after="0" w:line="360" w:lineRule="auto"/>
        <w:jc w:val="both"/>
        <w:rPr>
          <w:rFonts w:ascii="Verdana" w:hAnsi="Verdana"/>
        </w:rPr>
      </w:pPr>
      <w:r w:rsidRPr="00BE536E">
        <w:rPr>
          <w:rFonts w:ascii="Verdana" w:hAnsi="Verdana"/>
        </w:rPr>
        <w:lastRenderedPageBreak/>
        <w:t>в случае частичного погашения инвестиционных паев без заявления требований владельцев инвестиционных паев об их погашении - на дату составления списка владельцев инвестиционных паев</w:t>
      </w:r>
    </w:p>
    <w:p w14:paraId="2D72D964" w14:textId="77777777" w:rsidR="00535D1B" w:rsidRPr="00BE536E" w:rsidRDefault="00E12F31" w:rsidP="00D05311">
      <w:pPr>
        <w:numPr>
          <w:ilvl w:val="0"/>
          <w:numId w:val="42"/>
        </w:numPr>
        <w:autoSpaceDE w:val="0"/>
        <w:autoSpaceDN w:val="0"/>
        <w:adjustRightInd w:val="0"/>
        <w:spacing w:after="0" w:line="360" w:lineRule="auto"/>
        <w:jc w:val="both"/>
        <w:rPr>
          <w:rFonts w:ascii="Verdana" w:hAnsi="Verdana"/>
        </w:rPr>
      </w:pPr>
      <w:r w:rsidRPr="00BE536E">
        <w:rPr>
          <w:rFonts w:ascii="Verdana" w:hAnsi="Verdana"/>
        </w:rPr>
        <w:t>в иных случаях в соответствии с законодательством РФ.</w:t>
      </w:r>
    </w:p>
    <w:p w14:paraId="2A0AAA0B" w14:textId="77777777" w:rsidR="001D7A6F" w:rsidRPr="00BE536E" w:rsidRDefault="00E12F31" w:rsidP="00567222">
      <w:pPr>
        <w:autoSpaceDE w:val="0"/>
        <w:autoSpaceDN w:val="0"/>
        <w:adjustRightInd w:val="0"/>
        <w:spacing w:before="120" w:after="120" w:line="360" w:lineRule="auto"/>
        <w:ind w:left="3" w:firstLine="1"/>
        <w:jc w:val="both"/>
        <w:rPr>
          <w:rFonts w:ascii="Verdana" w:hAnsi="Verdana" w:cs="Verdana"/>
        </w:rPr>
      </w:pPr>
      <w:r w:rsidRPr="00BE536E">
        <w:rPr>
          <w:rFonts w:ascii="Verdana" w:hAnsi="Verdana" w:cs="Verdana"/>
        </w:rPr>
        <w:t xml:space="preserve">         </w:t>
      </w:r>
      <w:r w:rsidR="002341A4" w:rsidRPr="00BE536E">
        <w:rPr>
          <w:rFonts w:ascii="Verdana" w:hAnsi="Verdana" w:cs="Verdana"/>
        </w:rPr>
        <w:t xml:space="preserve">Среднегодовая СЧА ПИФ </w:t>
      </w:r>
      <w:r w:rsidR="00830D86" w:rsidRPr="00BE536E">
        <w:rPr>
          <w:rFonts w:ascii="Verdana" w:hAnsi="Verdana" w:cs="Verdana"/>
        </w:rPr>
        <w:t>(</w:t>
      </w:r>
      <w:r w:rsidR="00081E9B" w:rsidRPr="00BE536E">
        <w:rPr>
          <w:rFonts w:ascii="Verdana" w:hAnsi="Verdana" w:cs="Verdana"/>
        </w:rPr>
        <w:t xml:space="preserve">далее - </w:t>
      </w:r>
      <w:r w:rsidR="00830D86" w:rsidRPr="00BE536E">
        <w:rPr>
          <w:rFonts w:ascii="Verdana" w:hAnsi="Verdana" w:cs="Verdana"/>
        </w:rPr>
        <w:t xml:space="preserve">СГСЧА) </w:t>
      </w:r>
      <w:r w:rsidR="002341A4" w:rsidRPr="00BE536E">
        <w:rPr>
          <w:rFonts w:ascii="Verdana" w:hAnsi="Verdana" w:cs="Verdana"/>
        </w:rPr>
        <w:t xml:space="preserve">на любой день определяется </w:t>
      </w:r>
      <w:r w:rsidR="00212F69" w:rsidRPr="00BE536E">
        <w:rPr>
          <w:rFonts w:ascii="Verdana" w:hAnsi="Verdana" w:cs="Verdana"/>
        </w:rPr>
        <w:t xml:space="preserve">как отношение суммы СЧА на каждый рабочий день календарного года (если на рабочий день календарного года СЧА не определялась - на последний день ее определения, предшествующий такому дню) с начала года (с даты завершения (окончания) формирования ПИФ до даты расчета СГСЧА к числу рабочих дней </w:t>
      </w:r>
      <w:r w:rsidR="00C31E11" w:rsidRPr="00BE536E">
        <w:rPr>
          <w:rFonts w:ascii="Verdana" w:hAnsi="Verdana" w:cs="Verdana"/>
        </w:rPr>
        <w:t>в году</w:t>
      </w:r>
      <w:r w:rsidR="00212F69" w:rsidRPr="00BE536E">
        <w:rPr>
          <w:rFonts w:ascii="Verdana" w:hAnsi="Verdana" w:cs="Verdana"/>
        </w:rPr>
        <w:t>.</w:t>
      </w:r>
    </w:p>
    <w:p w14:paraId="762A443B" w14:textId="77777777" w:rsidR="007632A4" w:rsidRPr="00BE536E" w:rsidRDefault="007632A4"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В целях определения СГСЧА</w:t>
      </w:r>
      <w:r w:rsidR="000C5A1D" w:rsidRPr="00BE536E">
        <w:rPr>
          <w:rFonts w:ascii="Verdana" w:hAnsi="Verdana" w:cs="Verdana"/>
        </w:rPr>
        <w:t xml:space="preserve"> под</w:t>
      </w:r>
      <w:r w:rsidRPr="00BE536E">
        <w:rPr>
          <w:rFonts w:ascii="Verdana" w:hAnsi="Verdana" w:cs="Verdana"/>
        </w:rPr>
        <w:t xml:space="preserve"> датой, за которую определяется СЧА ПИФ, </w:t>
      </w:r>
      <w:r w:rsidR="00C44AA9" w:rsidRPr="00BE536E">
        <w:rPr>
          <w:rFonts w:ascii="Verdana" w:hAnsi="Verdana" w:cs="Verdana"/>
        </w:rPr>
        <w:t xml:space="preserve"> </w:t>
      </w:r>
      <w:r w:rsidR="00E36196" w:rsidRPr="00BE536E">
        <w:rPr>
          <w:rFonts w:ascii="Verdana" w:hAnsi="Verdana" w:cs="Verdana"/>
        </w:rPr>
        <w:t>понимается</w:t>
      </w:r>
      <w:r w:rsidR="00C44AA9" w:rsidRPr="00BE536E">
        <w:rPr>
          <w:rFonts w:ascii="Verdana" w:hAnsi="Verdana" w:cs="Verdana"/>
        </w:rPr>
        <w:t xml:space="preserve"> каждая </w:t>
      </w:r>
      <w:r w:rsidRPr="00BE536E">
        <w:rPr>
          <w:rFonts w:ascii="Verdana" w:hAnsi="Verdana" w:cs="Verdana"/>
        </w:rPr>
        <w:t>дат</w:t>
      </w:r>
      <w:r w:rsidR="00C44AA9" w:rsidRPr="00BE536E">
        <w:rPr>
          <w:rFonts w:ascii="Verdana" w:hAnsi="Verdana" w:cs="Verdana"/>
        </w:rPr>
        <w:t>а</w:t>
      </w:r>
      <w:r w:rsidRPr="00BE536E">
        <w:rPr>
          <w:rFonts w:ascii="Verdana" w:hAnsi="Verdana" w:cs="Verdana"/>
        </w:rPr>
        <w:t xml:space="preserve"> определения СЧА ПИФ, </w:t>
      </w:r>
      <w:r w:rsidR="00C44AA9" w:rsidRPr="00BE536E">
        <w:rPr>
          <w:rFonts w:ascii="Verdana" w:hAnsi="Verdana" w:cs="Verdana"/>
        </w:rPr>
        <w:t xml:space="preserve">указанная </w:t>
      </w:r>
      <w:r w:rsidRPr="00BE536E">
        <w:rPr>
          <w:rFonts w:ascii="Verdana" w:hAnsi="Verdana" w:cs="Verdana"/>
        </w:rPr>
        <w:t>в настоящих Правилах определения СЧА.</w:t>
      </w:r>
    </w:p>
    <w:p w14:paraId="4E887C46" w14:textId="77777777" w:rsidR="00C63D0C" w:rsidRPr="00BE536E" w:rsidRDefault="00ED0353"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СЧА</w:t>
      </w:r>
      <w:r w:rsidR="00CB4AD2" w:rsidRPr="00BE536E">
        <w:rPr>
          <w:rFonts w:ascii="Verdana" w:hAnsi="Verdana" w:cs="Verdana"/>
        </w:rPr>
        <w:t xml:space="preserve"> </w:t>
      </w:r>
      <w:r w:rsidR="00F84910" w:rsidRPr="00BE536E">
        <w:rPr>
          <w:rFonts w:ascii="Verdana" w:hAnsi="Verdana" w:cs="Verdana"/>
        </w:rPr>
        <w:t>ПИФ</w:t>
      </w:r>
      <w:r w:rsidR="00CB4AD2" w:rsidRPr="00BE536E">
        <w:rPr>
          <w:rFonts w:ascii="Verdana" w:hAnsi="Verdana" w:cs="Verdana"/>
        </w:rPr>
        <w:t xml:space="preserve">, в том числе среднегодовая </w:t>
      </w:r>
      <w:r w:rsidRPr="00BE536E">
        <w:rPr>
          <w:rFonts w:ascii="Verdana" w:hAnsi="Verdana" w:cs="Verdana"/>
        </w:rPr>
        <w:t>СЧА</w:t>
      </w:r>
      <w:r w:rsidR="00CB4AD2" w:rsidRPr="00BE536E">
        <w:rPr>
          <w:rFonts w:ascii="Verdana" w:hAnsi="Verdana" w:cs="Verdana"/>
        </w:rPr>
        <w:t xml:space="preserve"> </w:t>
      </w:r>
      <w:r w:rsidR="00F84910" w:rsidRPr="00BE536E">
        <w:rPr>
          <w:rFonts w:ascii="Verdana" w:hAnsi="Verdana" w:cs="Verdana"/>
        </w:rPr>
        <w:t>ПИФ</w:t>
      </w:r>
      <w:r w:rsidR="00CB4AD2" w:rsidRPr="00BE536E">
        <w:rPr>
          <w:rFonts w:ascii="Verdana" w:hAnsi="Verdana" w:cs="Verdana"/>
        </w:rPr>
        <w:t xml:space="preserve">, а также расчетная стоимость инвестиционного пая </w:t>
      </w:r>
      <w:r w:rsidR="00F84910" w:rsidRPr="00BE536E">
        <w:rPr>
          <w:rFonts w:ascii="Verdana" w:hAnsi="Verdana" w:cs="Verdana"/>
        </w:rPr>
        <w:t xml:space="preserve">ПИФ </w:t>
      </w:r>
      <w:r w:rsidR="00CB4AD2" w:rsidRPr="00BE536E">
        <w:rPr>
          <w:rFonts w:ascii="Verdana" w:hAnsi="Verdana" w:cs="Verdana"/>
        </w:rPr>
        <w:t xml:space="preserve">определяются с точностью до двух знаков после запятой, с применением правил математического округления в </w:t>
      </w:r>
      <w:r w:rsidR="003608F0" w:rsidRPr="00BE536E">
        <w:rPr>
          <w:rFonts w:ascii="Verdana" w:hAnsi="Verdana" w:cs="Verdana"/>
        </w:rPr>
        <w:t xml:space="preserve">валюте определения СЧА в соответствии с Правилами </w:t>
      </w:r>
      <w:r w:rsidR="00DB559B" w:rsidRPr="00BE536E">
        <w:rPr>
          <w:rFonts w:ascii="Verdana" w:hAnsi="Verdana" w:cs="Verdana"/>
        </w:rPr>
        <w:t>ДУ</w:t>
      </w:r>
      <w:r w:rsidR="003608F0" w:rsidRPr="00BE536E">
        <w:rPr>
          <w:rFonts w:ascii="Verdana" w:hAnsi="Verdana" w:cs="Verdana"/>
        </w:rPr>
        <w:t xml:space="preserve"> ПИФ, действующими на дату определения СЧА.</w:t>
      </w:r>
    </w:p>
    <w:p w14:paraId="6514788C" w14:textId="77777777" w:rsidR="0086333C" w:rsidRPr="00BE536E" w:rsidRDefault="0086333C" w:rsidP="0086333C">
      <w:pPr>
        <w:pStyle w:val="10"/>
        <w:numPr>
          <w:ilvl w:val="0"/>
          <w:numId w:val="0"/>
        </w:numPr>
        <w:spacing w:before="240" w:line="360" w:lineRule="auto"/>
        <w:jc w:val="both"/>
        <w:rPr>
          <w:rFonts w:ascii="Verdana" w:hAnsi="Verdana" w:cs="Arial"/>
          <w:caps/>
          <w:color w:val="943634"/>
          <w:sz w:val="24"/>
        </w:rPr>
      </w:pPr>
      <w:bookmarkStart w:id="4" w:name="_Toc27400751"/>
      <w:r w:rsidRPr="00BE536E">
        <w:rPr>
          <w:rFonts w:ascii="Verdana" w:hAnsi="Verdana" w:cs="Arial"/>
          <w:caps/>
          <w:color w:val="943634"/>
          <w:sz w:val="24"/>
        </w:rPr>
        <w:t>Порядок определения даты и времени, по состоянию на которые определяется стоимость имущества, переданного в оплату инвестиционных паев ПИФ</w:t>
      </w:r>
      <w:bookmarkEnd w:id="4"/>
    </w:p>
    <w:p w14:paraId="5D617B02"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t>Стоимость имущества, переданного в оплату инвестиционных паев ПИФ, определяется в соответствии с требованиями Федерального закона «Об инвестиционных фондах», принятыми в соответствии с ним нормативными актами, требованиями Указания № 3758-У и настоящими Правилами.</w:t>
      </w:r>
    </w:p>
    <w:p w14:paraId="7FB8E7FF"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t>Дата, по состоянию на которую определяется стоимость имущества, переданного в оплату инвестиционных паев ПИФ, не может быть определена раннее даты передачи такого имущества в оплату инвестиционных паев, за исключением случаев определения стоимости имущества, переданного в оплату инвестиционных паев ПИФ, на основании отчета оценщика.</w:t>
      </w:r>
    </w:p>
    <w:p w14:paraId="73A90D88"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lastRenderedPageBreak/>
        <w:t>Дата, по состоянию на которую определяется стоимость имущества, переданного в оплату инвестиционных паев ПИФ, на основании отчета оценщика, не может быть ранее трех месяцев до даты передачи такого имущества в оплату инвестиционных паев ПИФ.</w:t>
      </w:r>
    </w:p>
    <w:p w14:paraId="377909D3"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t>Стоимость имущества, переданного в оплату инвестиционных паев ПИФ, определяется по состоянию на 23:59:59 на дату передачи имущества в оплату инвестиционных паев ПИФ.</w:t>
      </w:r>
    </w:p>
    <w:p w14:paraId="397AC163" w14:textId="77777777" w:rsidR="00F51149" w:rsidRPr="00BE536E" w:rsidRDefault="00F51149" w:rsidP="00AF3F62">
      <w:pPr>
        <w:pStyle w:val="10"/>
        <w:numPr>
          <w:ilvl w:val="0"/>
          <w:numId w:val="0"/>
        </w:numPr>
        <w:spacing w:before="240" w:line="360" w:lineRule="auto"/>
        <w:jc w:val="both"/>
        <w:rPr>
          <w:rFonts w:ascii="Verdana" w:hAnsi="Verdana" w:cs="Arial"/>
          <w:caps/>
          <w:color w:val="943634"/>
          <w:sz w:val="24"/>
        </w:rPr>
      </w:pPr>
      <w:bookmarkStart w:id="5" w:name="_Toc27400752"/>
      <w:r w:rsidRPr="00BE536E">
        <w:rPr>
          <w:rFonts w:ascii="Verdana" w:hAnsi="Verdana" w:cs="Arial"/>
          <w:caps/>
          <w:color w:val="943634"/>
          <w:sz w:val="24"/>
        </w:rPr>
        <w:t>Критерии признания (прекращения признания) активов (обязательств)</w:t>
      </w:r>
      <w:bookmarkEnd w:id="5"/>
    </w:p>
    <w:p w14:paraId="3559D5B9" w14:textId="77777777" w:rsidR="004667D1" w:rsidRPr="00BE536E" w:rsidRDefault="004667D1"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Активы (обязательства) принимаются к расчету </w:t>
      </w:r>
      <w:r w:rsidR="00E373A1" w:rsidRPr="00BE536E">
        <w:rPr>
          <w:rFonts w:ascii="Verdana" w:hAnsi="Verdana" w:cs="Verdana"/>
        </w:rPr>
        <w:t>СЧА</w:t>
      </w:r>
      <w:r w:rsidRPr="00BE536E">
        <w:rPr>
          <w:rFonts w:ascii="Verdana" w:hAnsi="Verdana" w:cs="Verdana"/>
        </w:rPr>
        <w:t xml:space="preserve"> в случае их признания в соответствии с </w:t>
      </w:r>
      <w:r w:rsidR="00820C98" w:rsidRPr="00BE536E">
        <w:rPr>
          <w:rFonts w:ascii="Verdana" w:hAnsi="Verdana" w:cs="Verdana"/>
        </w:rPr>
        <w:t>МСФО</w:t>
      </w:r>
      <w:r w:rsidRPr="00BE536E">
        <w:rPr>
          <w:rFonts w:ascii="Verdana" w:hAnsi="Verdana" w:cs="Verdana"/>
        </w:rPr>
        <w:t>, введенными в действие на территории Российской Федерации.</w:t>
      </w:r>
    </w:p>
    <w:p w14:paraId="5268DD1E" w14:textId="6A59563E" w:rsidR="004667D1" w:rsidRPr="00BE536E" w:rsidRDefault="004667D1"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Критерии признания (прекращения признания) активов (обязательств) в </w:t>
      </w:r>
      <w:r w:rsidR="000846CD" w:rsidRPr="00BE536E">
        <w:rPr>
          <w:rFonts w:ascii="Verdana" w:hAnsi="Verdana" w:cs="Verdana"/>
        </w:rPr>
        <w:t xml:space="preserve">составе активов (обязательств) </w:t>
      </w:r>
      <w:r w:rsidR="00F84910" w:rsidRPr="00BE536E">
        <w:rPr>
          <w:rFonts w:ascii="Verdana" w:hAnsi="Verdana" w:cs="Verdana"/>
        </w:rPr>
        <w:t xml:space="preserve">ПИФ </w:t>
      </w:r>
      <w:r w:rsidRPr="00BE536E">
        <w:rPr>
          <w:rFonts w:ascii="Verdana" w:hAnsi="Verdana" w:cs="Verdana"/>
        </w:rPr>
        <w:t xml:space="preserve">представлены в Приложении </w:t>
      </w:r>
      <w:r w:rsidR="00634895" w:rsidRPr="00BE536E">
        <w:rPr>
          <w:rFonts w:ascii="Verdana" w:hAnsi="Verdana" w:cs="Verdana"/>
        </w:rPr>
        <w:t>6</w:t>
      </w:r>
      <w:r w:rsidR="00A778EB" w:rsidRPr="00BE536E">
        <w:rPr>
          <w:rFonts w:ascii="Verdana" w:hAnsi="Verdana" w:cs="Verdana"/>
        </w:rPr>
        <w:t>-</w:t>
      </w:r>
      <w:r w:rsidR="00F20F93">
        <w:rPr>
          <w:rFonts w:ascii="Verdana" w:hAnsi="Verdana" w:cs="Verdana"/>
        </w:rPr>
        <w:t>29</w:t>
      </w:r>
      <w:r w:rsidRPr="00BE536E">
        <w:rPr>
          <w:rFonts w:ascii="Verdana" w:hAnsi="Verdana" w:cs="Verdana"/>
        </w:rPr>
        <w:t>.</w:t>
      </w:r>
    </w:p>
    <w:p w14:paraId="1BF7A99C" w14:textId="77777777" w:rsidR="00BB0FBC" w:rsidRPr="00BE536E" w:rsidRDefault="00B43B66" w:rsidP="00AF3F62">
      <w:pPr>
        <w:pStyle w:val="10"/>
        <w:numPr>
          <w:ilvl w:val="0"/>
          <w:numId w:val="0"/>
        </w:numPr>
        <w:spacing w:before="240" w:line="360" w:lineRule="auto"/>
        <w:jc w:val="both"/>
        <w:rPr>
          <w:rFonts w:ascii="Verdana" w:hAnsi="Verdana" w:cs="Arial"/>
          <w:caps/>
          <w:color w:val="943634"/>
          <w:sz w:val="24"/>
        </w:rPr>
      </w:pPr>
      <w:bookmarkStart w:id="6" w:name="_Toc27400753"/>
      <w:r w:rsidRPr="00BE536E">
        <w:rPr>
          <w:rFonts w:ascii="Verdana" w:hAnsi="Verdana" w:cs="Arial"/>
          <w:caps/>
          <w:color w:val="943634"/>
          <w:sz w:val="24"/>
        </w:rPr>
        <w:t>Методы определения стоимости</w:t>
      </w:r>
      <w:r w:rsidR="0014321A" w:rsidRPr="00BE536E">
        <w:rPr>
          <w:rFonts w:ascii="Verdana" w:hAnsi="Verdana" w:cs="Arial"/>
          <w:caps/>
          <w:color w:val="943634"/>
          <w:sz w:val="24"/>
        </w:rPr>
        <w:t xml:space="preserve"> активов и обязательств</w:t>
      </w:r>
      <w:bookmarkEnd w:id="6"/>
    </w:p>
    <w:p w14:paraId="073273C2" w14:textId="77777777" w:rsidR="0086333C" w:rsidRPr="00BE536E" w:rsidRDefault="0086333C"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Активы и обязательства</w:t>
      </w:r>
      <w:r w:rsidR="0014321A" w:rsidRPr="00BE536E">
        <w:rPr>
          <w:rFonts w:ascii="Verdana" w:hAnsi="Verdana" w:cs="Verdana"/>
        </w:rPr>
        <w:t xml:space="preserve"> </w:t>
      </w:r>
      <w:r w:rsidR="00F84910" w:rsidRPr="00BE536E">
        <w:rPr>
          <w:rFonts w:ascii="Verdana" w:hAnsi="Verdana" w:cs="Verdana"/>
        </w:rPr>
        <w:t xml:space="preserve">ПИФ </w:t>
      </w:r>
      <w:r w:rsidRPr="00BE536E">
        <w:rPr>
          <w:rFonts w:ascii="Verdana" w:hAnsi="Verdana" w:cs="Verdana"/>
        </w:rPr>
        <w:t xml:space="preserve">оцениваются </w:t>
      </w:r>
      <w:r w:rsidR="0014321A" w:rsidRPr="00BE536E">
        <w:rPr>
          <w:rFonts w:ascii="Verdana" w:hAnsi="Verdana" w:cs="Verdana"/>
        </w:rPr>
        <w:t xml:space="preserve">по справедливой стоимости в соответствии с </w:t>
      </w:r>
      <w:r w:rsidR="00ED0353" w:rsidRPr="00BE536E">
        <w:rPr>
          <w:rFonts w:ascii="Verdana" w:hAnsi="Verdana" w:cs="Verdana"/>
        </w:rPr>
        <w:t>МСФО</w:t>
      </w:r>
      <w:r w:rsidR="00852887" w:rsidRPr="00BE536E">
        <w:rPr>
          <w:rFonts w:ascii="Verdana" w:hAnsi="Verdana" w:cs="Verdana"/>
        </w:rPr>
        <w:t>.</w:t>
      </w:r>
    </w:p>
    <w:p w14:paraId="358F81CA" w14:textId="77777777" w:rsidR="005D3D0E" w:rsidRPr="00BE536E" w:rsidRDefault="0014321A"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Стоимость активов, в том числе определенная на основании отчета оценщика, составленного в соответствии с требованиями Федерального закона от 29 июля 1998 года №</w:t>
      </w:r>
      <w:r w:rsidR="0086333C" w:rsidRPr="00BE536E">
        <w:rPr>
          <w:rFonts w:ascii="Verdana" w:hAnsi="Verdana" w:cs="Verdana"/>
        </w:rPr>
        <w:t> </w:t>
      </w:r>
      <w:r w:rsidRPr="00BE536E">
        <w:rPr>
          <w:rFonts w:ascii="Verdana" w:hAnsi="Verdana" w:cs="Verdana"/>
        </w:rPr>
        <w:t>135-ФЗ «Об оценочной деятельности в Российской Федерации»</w:t>
      </w:r>
      <w:r w:rsidR="00F36746" w:rsidRPr="00BE536E">
        <w:rPr>
          <w:rFonts w:ascii="Verdana" w:hAnsi="Verdana" w:cs="Verdana"/>
        </w:rPr>
        <w:t>,</w:t>
      </w:r>
      <w:r w:rsidRPr="00BE536E">
        <w:rPr>
          <w:rFonts w:ascii="Verdana" w:hAnsi="Verdana" w:cs="Verdana"/>
        </w:rPr>
        <w:t xml:space="preserve"> определяется без учета налогов, которые уплачиваются в соответствии с законодательством Российской Федерации или иностранного государства при приобретении и реализации указанных активов.</w:t>
      </w:r>
    </w:p>
    <w:p w14:paraId="5D72F195" w14:textId="77777777" w:rsidR="00777B4B" w:rsidRPr="00BE536E" w:rsidRDefault="003E2F75"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Стоимость актива может определяться на основании отчета оценщика, если такой отчет составлен оценщиком, в отношении которого со стороны саморегулируемых организаций оценщиков не применялись в течение двух лет в количестве двух и более раз меры дисциплинарного воздействия, предусмотренные Федеральным </w:t>
      </w:r>
      <w:hyperlink r:id="rId9" w:history="1">
        <w:r w:rsidRPr="00BE536E">
          <w:rPr>
            <w:rFonts w:ascii="Verdana" w:hAnsi="Verdana" w:cs="Verdana"/>
          </w:rPr>
          <w:t>законом</w:t>
        </w:r>
      </w:hyperlink>
      <w:r w:rsidRPr="00BE536E">
        <w:rPr>
          <w:rFonts w:ascii="Verdana" w:hAnsi="Verdana" w:cs="Verdana"/>
        </w:rPr>
        <w:t xml:space="preserve"> "Об оценочной деятельности в Российской Федерации", а также внутренними документами саморегулируемых организаций оценщиков, и стаж </w:t>
      </w:r>
      <w:r w:rsidRPr="00BE536E">
        <w:rPr>
          <w:rFonts w:ascii="Verdana" w:hAnsi="Verdana" w:cs="Verdana"/>
        </w:rPr>
        <w:lastRenderedPageBreak/>
        <w:t>осуществления оценочной деятельности которого составляет не менее трех лет</w:t>
      </w:r>
      <w:r w:rsidR="00682B97" w:rsidRPr="00BE536E">
        <w:rPr>
          <w:rFonts w:ascii="Verdana" w:hAnsi="Verdana" w:cs="Verdana"/>
        </w:rPr>
        <w:t>, а так же имеющим квалификационный аттестат по соответствующему направлению оценочной деятельности</w:t>
      </w:r>
      <w:r w:rsidR="00B8713F" w:rsidRPr="00BE536E">
        <w:rPr>
          <w:rFonts w:ascii="Verdana" w:hAnsi="Verdana" w:cs="Verdana"/>
        </w:rPr>
        <w:t>.</w:t>
      </w:r>
    </w:p>
    <w:p w14:paraId="1DAABABF" w14:textId="77777777" w:rsidR="005D3D0E" w:rsidRPr="00BE536E" w:rsidRDefault="005D3D0E"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В случае определения стоимости актива на основании отчета оценщика дата оценки стоимости должна быть не ранее шести месяцев до даты, по состоянию на которую определяется </w:t>
      </w:r>
      <w:r w:rsidR="004667D1" w:rsidRPr="00BE536E">
        <w:rPr>
          <w:rFonts w:ascii="Verdana" w:hAnsi="Verdana" w:cs="Verdana"/>
        </w:rPr>
        <w:t>СЧА</w:t>
      </w:r>
      <w:r w:rsidRPr="00BE536E">
        <w:rPr>
          <w:rFonts w:ascii="Verdana" w:hAnsi="Verdana" w:cs="Verdana"/>
        </w:rPr>
        <w:t xml:space="preserve">. При этом стоимость актива определяется на основании доступного на момент определения </w:t>
      </w:r>
      <w:r w:rsidR="00852887" w:rsidRPr="00BE536E">
        <w:rPr>
          <w:rFonts w:ascii="Verdana" w:hAnsi="Verdana" w:cs="Verdana"/>
        </w:rPr>
        <w:t>СЧА</w:t>
      </w:r>
      <w:r w:rsidRPr="00BE536E">
        <w:rPr>
          <w:rFonts w:ascii="Verdana" w:hAnsi="Verdana" w:cs="Verdana"/>
        </w:rPr>
        <w:t xml:space="preserve"> отчета оценщика с датой оценки наиболее близкой к дате определения стоимости актива</w:t>
      </w:r>
      <w:r w:rsidR="00D70A46" w:rsidRPr="00BE536E">
        <w:rPr>
          <w:rFonts w:ascii="Verdana" w:hAnsi="Verdana" w:cs="Verdana"/>
        </w:rPr>
        <w:t>, составленно</w:t>
      </w:r>
      <w:r w:rsidR="00AF7FC0" w:rsidRPr="00BE536E">
        <w:rPr>
          <w:rFonts w:ascii="Verdana" w:hAnsi="Verdana" w:cs="Verdana"/>
        </w:rPr>
        <w:t>го</w:t>
      </w:r>
      <w:r w:rsidR="00D70A46" w:rsidRPr="00BE536E">
        <w:rPr>
          <w:rFonts w:ascii="Verdana" w:hAnsi="Verdana" w:cs="Verdana"/>
        </w:rPr>
        <w:t xml:space="preserve">  с </w:t>
      </w:r>
      <w:r w:rsidR="00AF7FC0" w:rsidRPr="00BE536E">
        <w:rPr>
          <w:rFonts w:ascii="Verdana" w:hAnsi="Verdana" w:cs="Verdana"/>
        </w:rPr>
        <w:t xml:space="preserve">соблюдением </w:t>
      </w:r>
      <w:r w:rsidR="00D70A46" w:rsidRPr="00BE536E">
        <w:rPr>
          <w:rFonts w:ascii="Verdana" w:hAnsi="Verdana" w:cs="Verdana"/>
        </w:rPr>
        <w:t>требовани</w:t>
      </w:r>
      <w:r w:rsidR="00820C98" w:rsidRPr="00BE536E">
        <w:rPr>
          <w:rFonts w:ascii="Verdana" w:hAnsi="Verdana" w:cs="Verdana"/>
        </w:rPr>
        <w:t>й</w:t>
      </w:r>
      <w:r w:rsidR="00D70A46" w:rsidRPr="00BE536E">
        <w:rPr>
          <w:rFonts w:ascii="Verdana" w:hAnsi="Verdana" w:cs="Verdana"/>
        </w:rPr>
        <w:t xml:space="preserve"> нормативных правовых актов</w:t>
      </w:r>
      <w:r w:rsidRPr="00BE536E">
        <w:rPr>
          <w:rFonts w:ascii="Verdana" w:hAnsi="Verdana" w:cs="Verdana"/>
        </w:rPr>
        <w:t>.</w:t>
      </w:r>
    </w:p>
    <w:p w14:paraId="39CAEE27" w14:textId="77777777" w:rsidR="00AA2253" w:rsidRPr="00BE536E" w:rsidRDefault="00AA2253" w:rsidP="00567222">
      <w:pPr>
        <w:autoSpaceDN w:val="0"/>
        <w:adjustRightInd w:val="0"/>
        <w:spacing w:line="360" w:lineRule="auto"/>
        <w:jc w:val="both"/>
        <w:rPr>
          <w:rFonts w:ascii="Verdana" w:hAnsi="Verdana" w:cs="Verdana"/>
        </w:rPr>
      </w:pPr>
      <w:r w:rsidRPr="00BE536E">
        <w:rPr>
          <w:rFonts w:ascii="Verdana" w:hAnsi="Verdana" w:cs="Verdana"/>
        </w:rPr>
        <w:t>В случае определения стоимости актива на основании отчета оценщика и при этом после даты оценки имело место наблюдаемое событие, приводящее к существенному увеличению кредитного риска по оцениваемому активу или к существенному изменению характеристик актива, которые принимались во внимание оценщиком в процессе подготовки последнего по времени отчёта оценки, справедливая стоимость актива должна определяться на основании отчёта оценки, учитывающего такое событие. Перечень активов, справедливая стоимость которых определяется на основании отчёта оценщика, содержится в Приложении 1.</w:t>
      </w:r>
    </w:p>
    <w:p w14:paraId="1673F622" w14:textId="64751601" w:rsidR="00853EA1" w:rsidRPr="00BE536E" w:rsidRDefault="00AA2253" w:rsidP="00853EA1">
      <w:pPr>
        <w:spacing w:after="0" w:line="360" w:lineRule="auto"/>
        <w:rPr>
          <w:rFonts w:ascii="Verdana" w:hAnsi="Verdana" w:cs="Verdana"/>
        </w:rPr>
      </w:pPr>
      <w:r w:rsidRPr="00BE536E">
        <w:rPr>
          <w:rFonts w:ascii="Verdana" w:hAnsi="Verdana" w:cs="Verdana"/>
        </w:rPr>
        <w:t xml:space="preserve">Методики определения справедливой стоимости активов (обязательств), порядок конвертации стоимостей, выраженных в одной валюте, в валюту определения СЧА,  представлены в Приложении </w:t>
      </w:r>
      <w:r w:rsidR="00F20F93" w:rsidRPr="00BE536E">
        <w:rPr>
          <w:rFonts w:ascii="Verdana" w:hAnsi="Verdana" w:cs="Verdana"/>
        </w:rPr>
        <w:t>3</w:t>
      </w:r>
      <w:r w:rsidR="00F20F93">
        <w:rPr>
          <w:rFonts w:ascii="Verdana" w:hAnsi="Verdana" w:cs="Verdana"/>
        </w:rPr>
        <w:t>1</w:t>
      </w:r>
      <w:r w:rsidR="00F20F93" w:rsidRPr="00BE536E">
        <w:rPr>
          <w:rFonts w:ascii="Verdana" w:hAnsi="Verdana" w:cs="Verdana"/>
        </w:rPr>
        <w:t xml:space="preserve"> </w:t>
      </w:r>
      <w:r w:rsidRPr="00BE536E">
        <w:rPr>
          <w:rFonts w:ascii="Verdana" w:hAnsi="Verdana" w:cs="Verdana"/>
        </w:rPr>
        <w:t>к настоящим Правилам</w:t>
      </w:r>
      <w:r w:rsidR="00853EA1" w:rsidRPr="00BE536E">
        <w:rPr>
          <w:rFonts w:ascii="Verdana" w:hAnsi="Verdana" w:cs="Verdana"/>
        </w:rPr>
        <w:t xml:space="preserve">. </w:t>
      </w:r>
    </w:p>
    <w:p w14:paraId="40779AFD" w14:textId="77777777" w:rsidR="00C02A46" w:rsidRPr="00BE536E" w:rsidRDefault="00C02A46" w:rsidP="00BE536E">
      <w:pPr>
        <w:spacing w:after="0" w:line="360" w:lineRule="auto"/>
        <w:rPr>
          <w:rFonts w:ascii="Verdana" w:hAnsi="Verdana" w:cs="Verdana"/>
        </w:rPr>
      </w:pPr>
    </w:p>
    <w:p w14:paraId="7D17B1D5" w14:textId="4781C02A" w:rsidR="00AA2253" w:rsidRPr="00BE536E" w:rsidRDefault="00AA2253" w:rsidP="00567222">
      <w:pPr>
        <w:autoSpaceDN w:val="0"/>
        <w:adjustRightInd w:val="0"/>
        <w:spacing w:line="360" w:lineRule="auto"/>
        <w:jc w:val="both"/>
        <w:rPr>
          <w:rFonts w:ascii="Verdana" w:hAnsi="Verdana" w:cs="Verdana"/>
        </w:rPr>
      </w:pPr>
      <w:r w:rsidRPr="00BE536E">
        <w:rPr>
          <w:rFonts w:ascii="Verdana" w:hAnsi="Verdana" w:cs="Verdana"/>
        </w:rPr>
        <w:t>Методики определения стоимости конкретных активов и обязательств представлены в соответствующих приложениях настоящих правил определения СЧА.</w:t>
      </w:r>
    </w:p>
    <w:p w14:paraId="57B5E672" w14:textId="77777777" w:rsidR="00C02A46" w:rsidRPr="00BE536E" w:rsidRDefault="00C02A46" w:rsidP="00567222">
      <w:pPr>
        <w:autoSpaceDN w:val="0"/>
        <w:adjustRightInd w:val="0"/>
        <w:spacing w:line="360" w:lineRule="auto"/>
        <w:jc w:val="both"/>
        <w:rPr>
          <w:rFonts w:ascii="Verdana" w:hAnsi="Verdana" w:cs="Verdana"/>
        </w:rPr>
      </w:pPr>
    </w:p>
    <w:p w14:paraId="110E3510" w14:textId="77777777" w:rsidR="00EF7F0D" w:rsidRPr="00BE536E" w:rsidRDefault="00EF7F0D" w:rsidP="00AF3F62">
      <w:pPr>
        <w:pStyle w:val="10"/>
        <w:numPr>
          <w:ilvl w:val="0"/>
          <w:numId w:val="0"/>
        </w:numPr>
        <w:spacing w:before="240" w:line="360" w:lineRule="auto"/>
        <w:jc w:val="both"/>
        <w:rPr>
          <w:rFonts w:ascii="Verdana" w:hAnsi="Verdana" w:cs="Arial"/>
          <w:caps/>
          <w:color w:val="943634"/>
          <w:sz w:val="24"/>
        </w:rPr>
      </w:pPr>
      <w:bookmarkStart w:id="7" w:name="_Toc27400755"/>
      <w:r w:rsidRPr="00BE536E">
        <w:rPr>
          <w:rFonts w:ascii="Verdana" w:hAnsi="Verdana" w:cs="Arial"/>
          <w:caps/>
          <w:color w:val="943634"/>
          <w:sz w:val="24"/>
        </w:rPr>
        <w:lastRenderedPageBreak/>
        <w:t>Порядок расчета величины ре</w:t>
      </w:r>
      <w:r w:rsidR="007B2832" w:rsidRPr="00BE536E">
        <w:rPr>
          <w:rFonts w:ascii="Verdana" w:hAnsi="Verdana" w:cs="Arial"/>
          <w:caps/>
          <w:color w:val="943634"/>
          <w:sz w:val="24"/>
        </w:rPr>
        <w:t>зерва на выплату вознаграждения и испо</w:t>
      </w:r>
      <w:r w:rsidR="004A2CB3" w:rsidRPr="00BE536E">
        <w:rPr>
          <w:rFonts w:ascii="Verdana" w:hAnsi="Verdana" w:cs="Arial"/>
          <w:caps/>
          <w:color w:val="943634"/>
          <w:sz w:val="24"/>
        </w:rPr>
        <w:t>льзования такого резерва, а так</w:t>
      </w:r>
      <w:r w:rsidR="007B2832" w:rsidRPr="00BE536E">
        <w:rPr>
          <w:rFonts w:ascii="Verdana" w:hAnsi="Verdana" w:cs="Arial"/>
          <w:caps/>
          <w:color w:val="943634"/>
          <w:sz w:val="24"/>
        </w:rPr>
        <w:t xml:space="preserve">же порядок учета вознаграждений и расходов, связанных с доверительным управлением </w:t>
      </w:r>
      <w:r w:rsidR="00F84910" w:rsidRPr="00BE536E">
        <w:rPr>
          <w:rFonts w:ascii="Verdana" w:hAnsi="Verdana" w:cs="Arial"/>
          <w:caps/>
          <w:color w:val="943634"/>
          <w:sz w:val="24"/>
        </w:rPr>
        <w:t>ПИФ</w:t>
      </w:r>
      <w:bookmarkEnd w:id="7"/>
    </w:p>
    <w:p w14:paraId="691663E0" w14:textId="7ADA2397" w:rsidR="00014F0C" w:rsidRPr="00BE536E" w:rsidRDefault="00014F0C" w:rsidP="00014F0C">
      <w:pPr>
        <w:spacing w:after="0" w:line="360" w:lineRule="auto"/>
        <w:ind w:firstLine="567"/>
        <w:jc w:val="both"/>
        <w:rPr>
          <w:rFonts w:ascii="Verdana" w:hAnsi="Verdana"/>
          <w:color w:val="00000A"/>
        </w:rPr>
      </w:pPr>
      <w:r w:rsidRPr="00BE536E">
        <w:rPr>
          <w:rFonts w:ascii="Verdana" w:hAnsi="Verdana"/>
          <w:color w:val="00000A"/>
        </w:rPr>
        <w:t>Резерв на выплату вознаграждения управляющей компании, специализированному депозитарию, аудиторской организации, оценщику Фонда и лицу, осуществляющему ведение реестра владельцев инвестиционных паев ПИФ (далее – резерв на выплату вознаграждения) не включается в состав обязательств при определении СЧА ПИФ.</w:t>
      </w:r>
    </w:p>
    <w:p w14:paraId="1B028A01" w14:textId="77777777" w:rsidR="00014F0C" w:rsidRPr="00BE536E" w:rsidRDefault="00014F0C" w:rsidP="00014F0C">
      <w:pPr>
        <w:spacing w:after="0" w:line="360" w:lineRule="auto"/>
        <w:ind w:firstLine="567"/>
        <w:jc w:val="both"/>
        <w:rPr>
          <w:rFonts w:ascii="Verdana" w:hAnsi="Verdana"/>
          <w:color w:val="00000A"/>
        </w:rPr>
      </w:pPr>
      <w:r w:rsidRPr="00BE536E">
        <w:rPr>
          <w:rFonts w:ascii="Verdana" w:hAnsi="Verdana"/>
          <w:color w:val="00000A"/>
        </w:rPr>
        <w:t>Резерв на выплату вознаграждения, размер которого зависит от результатов инвестирования, не включается в состав обязательств Фонда.</w:t>
      </w:r>
    </w:p>
    <w:p w14:paraId="4B7504FB" w14:textId="77777777" w:rsidR="00014F0C" w:rsidRPr="00BE536E" w:rsidRDefault="00014F0C" w:rsidP="00014F0C">
      <w:pPr>
        <w:spacing w:after="0" w:line="360" w:lineRule="auto"/>
        <w:ind w:firstLine="567"/>
        <w:jc w:val="both"/>
        <w:rPr>
          <w:rFonts w:ascii="Verdana" w:hAnsi="Verdana"/>
          <w:color w:val="00000A"/>
        </w:rPr>
      </w:pPr>
      <w:r w:rsidRPr="00BE536E">
        <w:rPr>
          <w:rFonts w:ascii="Verdana" w:hAnsi="Verdana"/>
          <w:color w:val="00000A"/>
        </w:rPr>
        <w:t xml:space="preserve">Иные резервы в Фонде не формируются и не включаются в состав обязательств Фонда. </w:t>
      </w:r>
    </w:p>
    <w:p w14:paraId="634CE8FF" w14:textId="77777777" w:rsidR="00AA2253" w:rsidRPr="00BE536E" w:rsidRDefault="00AA2253" w:rsidP="00567222">
      <w:pPr>
        <w:spacing w:after="0" w:line="360" w:lineRule="auto"/>
        <w:ind w:firstLine="567"/>
        <w:jc w:val="both"/>
        <w:rPr>
          <w:rFonts w:ascii="Verdana" w:hAnsi="Verdana"/>
          <w:color w:val="00000A"/>
        </w:rPr>
      </w:pPr>
      <w:r w:rsidRPr="00BE536E">
        <w:rPr>
          <w:rFonts w:ascii="Verdana" w:hAnsi="Verdana"/>
          <w:color w:val="00000A"/>
        </w:rPr>
        <w:t>Вознаграждения управляющей компании, специализированному депозитарию, аудиторской организации, оценщику и лицу, осуществляющему ведение реестра владельцев инвестиционных паев паевого инвестиционного фонда начисляются в соответствии с условиями договоров на оказание соответствующих услуг и с даты начисления отражаются в составе обязательств паевого инвестиционного фонда до момента  их выплаты.</w:t>
      </w:r>
    </w:p>
    <w:p w14:paraId="18937A59" w14:textId="77777777" w:rsidR="00AA2253" w:rsidRPr="00BE536E" w:rsidRDefault="00AA2253" w:rsidP="00567222">
      <w:pPr>
        <w:spacing w:after="0" w:line="360" w:lineRule="auto"/>
        <w:ind w:firstLine="567"/>
        <w:jc w:val="both"/>
        <w:rPr>
          <w:rFonts w:ascii="Verdana" w:hAnsi="Verdana"/>
          <w:color w:val="00000A"/>
        </w:rPr>
      </w:pPr>
      <w:r w:rsidRPr="00BE536E">
        <w:rPr>
          <w:rFonts w:ascii="Verdana" w:hAnsi="Verdana"/>
          <w:color w:val="00000A"/>
        </w:rPr>
        <w:t>Вознаграждение управляющей компании, размер которого зависит от результатов инвестирования, начисляется в первый рабочий день периода (если иная дата начисления не указана в Правилах ДУ ПИФ), следующего за периодом начисления вознаграждения,</w:t>
      </w:r>
      <w:r w:rsidR="00A67CA9" w:rsidRPr="00BE536E">
        <w:rPr>
          <w:rFonts w:ascii="Verdana" w:hAnsi="Verdana"/>
          <w:color w:val="00000A"/>
        </w:rPr>
        <w:t xml:space="preserve"> на основании акта, составленного управляющей компанией, признается в составе прочих расходов </w:t>
      </w:r>
      <w:r w:rsidRPr="00BE536E">
        <w:rPr>
          <w:rFonts w:ascii="Verdana" w:hAnsi="Verdana"/>
          <w:color w:val="00000A"/>
        </w:rPr>
        <w:t xml:space="preserve">  и учитывается в составе обязательств  до момента его выплаты.</w:t>
      </w:r>
    </w:p>
    <w:p w14:paraId="6CC95789" w14:textId="77777777" w:rsidR="00AA2253" w:rsidRPr="00BE536E" w:rsidRDefault="00AA2253" w:rsidP="00AA2253">
      <w:pPr>
        <w:spacing w:after="0" w:line="360" w:lineRule="auto"/>
        <w:ind w:firstLine="567"/>
        <w:jc w:val="both"/>
        <w:rPr>
          <w:rFonts w:ascii="Verdana" w:hAnsi="Verdana"/>
          <w:color w:val="00000A"/>
        </w:rPr>
      </w:pPr>
      <w:r w:rsidRPr="00BE536E">
        <w:rPr>
          <w:rFonts w:ascii="Verdana" w:hAnsi="Verdana"/>
          <w:color w:val="00000A"/>
        </w:rPr>
        <w:t>Вознаграждение управляющей компании за месяц, когда фонд завершит свое формирование рассчитывается за период  с даты, следующей за датой завершения формирования по конец месяца.</w:t>
      </w:r>
    </w:p>
    <w:p w14:paraId="03300D3F" w14:textId="77777777" w:rsidR="00A67CA9" w:rsidRPr="00BE536E" w:rsidRDefault="00A67CA9" w:rsidP="00AA2253">
      <w:pPr>
        <w:spacing w:after="0" w:line="360" w:lineRule="auto"/>
        <w:ind w:firstLine="567"/>
        <w:jc w:val="both"/>
        <w:rPr>
          <w:rFonts w:ascii="Verdana" w:hAnsi="Verdana"/>
          <w:color w:val="00000A"/>
        </w:rPr>
      </w:pPr>
      <w:r w:rsidRPr="00BE536E">
        <w:rPr>
          <w:rFonts w:ascii="Verdana" w:hAnsi="Verdana" w:cs="Verdana"/>
        </w:rPr>
        <w:t xml:space="preserve">Порядок признания, прекращения признания и определения справедливой стоимости вознаграждений и расходов, связанных с доверительным управлением, указан в </w:t>
      </w:r>
      <w:r w:rsidR="00634895" w:rsidRPr="00BE536E">
        <w:rPr>
          <w:rFonts w:ascii="Verdana" w:hAnsi="Verdana" w:cs="Verdana"/>
        </w:rPr>
        <w:t>Приложении 6</w:t>
      </w:r>
      <w:r w:rsidRPr="00BE536E">
        <w:rPr>
          <w:rStyle w:val="a5"/>
          <w:rFonts w:ascii="Verdana" w:hAnsi="Verdana" w:cs="Verdana"/>
        </w:rPr>
        <w:t>.</w:t>
      </w:r>
    </w:p>
    <w:p w14:paraId="6578E1B5" w14:textId="77777777" w:rsidR="00B804CE" w:rsidRPr="00BE536E" w:rsidRDefault="00B804CE" w:rsidP="004A2CB3">
      <w:pPr>
        <w:pStyle w:val="10"/>
        <w:numPr>
          <w:ilvl w:val="0"/>
          <w:numId w:val="0"/>
        </w:numPr>
        <w:spacing w:before="240" w:line="360" w:lineRule="auto"/>
        <w:jc w:val="both"/>
        <w:rPr>
          <w:rFonts w:ascii="Verdana" w:hAnsi="Verdana" w:cs="Arial"/>
          <w:caps/>
          <w:color w:val="943634"/>
          <w:sz w:val="24"/>
        </w:rPr>
      </w:pPr>
      <w:bookmarkStart w:id="8" w:name="_Toc27400756"/>
      <w:r w:rsidRPr="00BE536E">
        <w:rPr>
          <w:rFonts w:ascii="Verdana" w:hAnsi="Verdana" w:cs="Arial"/>
          <w:caps/>
          <w:color w:val="943634"/>
          <w:sz w:val="24"/>
        </w:rPr>
        <w:lastRenderedPageBreak/>
        <w:t xml:space="preserve">Порядок урегулирования разногласий между управляющей компанией и специализированным депозитарием при определении </w:t>
      </w:r>
      <w:r w:rsidR="00695900" w:rsidRPr="00BE536E">
        <w:rPr>
          <w:rFonts w:ascii="Verdana" w:hAnsi="Verdana" w:cs="Arial"/>
          <w:caps/>
          <w:color w:val="943634"/>
          <w:sz w:val="24"/>
        </w:rPr>
        <w:t>СЧА</w:t>
      </w:r>
      <w:bookmarkEnd w:id="8"/>
    </w:p>
    <w:p w14:paraId="6977C2F5" w14:textId="77777777" w:rsidR="00E51CB0" w:rsidRPr="00BE536E" w:rsidRDefault="00E51CB0" w:rsidP="0086333C">
      <w:pPr>
        <w:spacing w:before="120" w:after="120" w:line="360" w:lineRule="auto"/>
        <w:jc w:val="both"/>
        <w:rPr>
          <w:rFonts w:ascii="Verdana" w:hAnsi="Verdana" w:cs="Verdana"/>
        </w:rPr>
      </w:pPr>
      <w:r w:rsidRPr="00BE536E">
        <w:rPr>
          <w:rFonts w:ascii="Verdana" w:hAnsi="Verdana" w:cs="Verdana"/>
        </w:rPr>
        <w:t xml:space="preserve">В случае обнаружения расхождений при сверке Справки о СЧА </w:t>
      </w:r>
      <w:r w:rsidR="006475A1" w:rsidRPr="00BE536E">
        <w:rPr>
          <w:rFonts w:ascii="Verdana" w:hAnsi="Verdana" w:cs="Verdana"/>
        </w:rPr>
        <w:t xml:space="preserve">ПИФ </w:t>
      </w:r>
      <w:r w:rsidRPr="00BE536E">
        <w:rPr>
          <w:rFonts w:ascii="Verdana" w:hAnsi="Verdana" w:cs="Verdana"/>
        </w:rPr>
        <w:t xml:space="preserve">Специализированный депозитарий и Управляющая компания ПИФ выясняют причину расхождений и согласовывают возможности их устранения. </w:t>
      </w:r>
      <w:r w:rsidR="00A67CA9" w:rsidRPr="00BE536E">
        <w:rPr>
          <w:rFonts w:ascii="Verdana" w:hAnsi="Verdana" w:cs="Verdana"/>
        </w:rPr>
        <w:t>Стороны вправе потребовать друг у друга любые документы (или их копии), подтверждающие факты направления/получения распоряжений по счетам, а также иных документов, необходимых для выяснения причины и устранения обнаруженных расхождений</w:t>
      </w:r>
    </w:p>
    <w:p w14:paraId="327F188E" w14:textId="77777777" w:rsidR="001446EF" w:rsidRPr="00BE536E" w:rsidRDefault="00E51CB0" w:rsidP="0086333C">
      <w:pPr>
        <w:spacing w:before="120" w:after="120" w:line="360" w:lineRule="auto"/>
        <w:jc w:val="both"/>
        <w:rPr>
          <w:rFonts w:ascii="Verdana" w:hAnsi="Verdana" w:cs="Verdana"/>
        </w:rPr>
      </w:pPr>
      <w:r w:rsidRPr="00BE536E">
        <w:rPr>
          <w:rFonts w:ascii="Verdana" w:hAnsi="Verdana" w:cs="Verdana"/>
        </w:rPr>
        <w:t xml:space="preserve">В случае если расхождения не были устранены до истечения предельного срока предоставления отчетности, факт обнаружения расхождений фиксируется в </w:t>
      </w:r>
      <w:r w:rsidR="00EA0953" w:rsidRPr="00BE536E">
        <w:rPr>
          <w:rFonts w:ascii="Verdana" w:hAnsi="Verdana" w:cs="Verdana"/>
        </w:rPr>
        <w:t xml:space="preserve">акте </w:t>
      </w:r>
      <w:r w:rsidRPr="00BE536E">
        <w:rPr>
          <w:rFonts w:ascii="Verdana" w:hAnsi="Verdana" w:cs="Verdana"/>
        </w:rPr>
        <w:t>расхождений результатов сверки СЧА</w:t>
      </w:r>
      <w:r w:rsidR="00DB559B" w:rsidRPr="00BE536E">
        <w:rPr>
          <w:rFonts w:ascii="Verdana" w:hAnsi="Verdana" w:cs="Verdana"/>
        </w:rPr>
        <w:t xml:space="preserve"> (далее – Протокол расхождений)</w:t>
      </w:r>
      <w:r w:rsidRPr="00BE536E">
        <w:rPr>
          <w:rFonts w:ascii="Verdana" w:hAnsi="Verdana" w:cs="Verdana"/>
        </w:rPr>
        <w:t>. При этом Специализированный депозитарий заверяет Справку о СЧА ПИФ</w:t>
      </w:r>
      <w:r w:rsidR="00DB559B" w:rsidRPr="00BE536E">
        <w:rPr>
          <w:rFonts w:ascii="Verdana" w:hAnsi="Verdana" w:cs="Verdana"/>
        </w:rPr>
        <w:t xml:space="preserve"> в согласованной части с приложением </w:t>
      </w:r>
      <w:r w:rsidR="00EA0953" w:rsidRPr="00BE536E">
        <w:rPr>
          <w:rFonts w:ascii="Verdana" w:hAnsi="Verdana" w:cs="Verdana"/>
        </w:rPr>
        <w:t>акта</w:t>
      </w:r>
      <w:r w:rsidR="00DB559B" w:rsidRPr="00BE536E">
        <w:rPr>
          <w:rFonts w:ascii="Verdana" w:hAnsi="Verdana" w:cs="Verdana"/>
        </w:rPr>
        <w:t xml:space="preserve"> расхождений</w:t>
      </w:r>
      <w:r w:rsidRPr="00BE536E">
        <w:rPr>
          <w:rFonts w:ascii="Verdana" w:hAnsi="Verdana" w:cs="Verdana"/>
        </w:rPr>
        <w:t xml:space="preserve"> и не позднее 3 (</w:t>
      </w:r>
      <w:r w:rsidR="00C75D41" w:rsidRPr="00BE536E">
        <w:rPr>
          <w:rFonts w:ascii="Verdana" w:hAnsi="Verdana" w:cs="Verdana"/>
        </w:rPr>
        <w:t>Т</w:t>
      </w:r>
      <w:r w:rsidRPr="00BE536E">
        <w:rPr>
          <w:rFonts w:ascii="Verdana" w:hAnsi="Verdana" w:cs="Verdana"/>
        </w:rPr>
        <w:t>р</w:t>
      </w:r>
      <w:r w:rsidR="00396EA7" w:rsidRPr="00BE536E">
        <w:rPr>
          <w:rFonts w:ascii="Verdana" w:hAnsi="Verdana" w:cs="Verdana"/>
        </w:rPr>
        <w:t>ех</w:t>
      </w:r>
      <w:r w:rsidRPr="00BE536E">
        <w:rPr>
          <w:rFonts w:ascii="Verdana" w:hAnsi="Verdana" w:cs="Verdana"/>
        </w:rPr>
        <w:t xml:space="preserve">) рабочих дней с даты подписания </w:t>
      </w:r>
      <w:r w:rsidR="00EA0953" w:rsidRPr="00BE536E">
        <w:rPr>
          <w:rFonts w:ascii="Verdana" w:hAnsi="Verdana" w:cs="Verdana"/>
        </w:rPr>
        <w:t xml:space="preserve">акта </w:t>
      </w:r>
      <w:r w:rsidRPr="00BE536E">
        <w:rPr>
          <w:rFonts w:ascii="Verdana" w:hAnsi="Verdana" w:cs="Verdana"/>
        </w:rPr>
        <w:t>расхождений уведомляет о факте расхождения Банк России.</w:t>
      </w:r>
    </w:p>
    <w:p w14:paraId="50DDDA79" w14:textId="77777777" w:rsidR="00E51CB0" w:rsidRPr="00BE536E" w:rsidRDefault="00E51CB0" w:rsidP="0086333C">
      <w:pPr>
        <w:spacing w:before="120" w:after="120" w:line="360" w:lineRule="auto"/>
        <w:jc w:val="both"/>
        <w:rPr>
          <w:rFonts w:ascii="Verdana" w:hAnsi="Verdana" w:cs="Verdana"/>
        </w:rPr>
      </w:pPr>
      <w:r w:rsidRPr="00BE536E">
        <w:rPr>
          <w:rFonts w:ascii="Verdana" w:hAnsi="Verdana" w:cs="Verdana"/>
        </w:rPr>
        <w:t>Факт последующего устранения расхождений подтверждается путем</w:t>
      </w:r>
      <w:r w:rsidR="001446EF" w:rsidRPr="00BE536E">
        <w:rPr>
          <w:rFonts w:ascii="Verdana" w:hAnsi="Verdana" w:cs="Verdana"/>
        </w:rPr>
        <w:t xml:space="preserve"> </w:t>
      </w:r>
      <w:r w:rsidRPr="00BE536E">
        <w:rPr>
          <w:rFonts w:ascii="Verdana" w:hAnsi="Verdana" w:cs="Verdana"/>
        </w:rPr>
        <w:t>заверения справки о СЧА Специализированным депозитарием</w:t>
      </w:r>
      <w:r w:rsidR="00DB559B" w:rsidRPr="00BE536E">
        <w:rPr>
          <w:rFonts w:ascii="Verdana" w:hAnsi="Verdana" w:cs="Verdana"/>
        </w:rPr>
        <w:t xml:space="preserve"> без оговорок</w:t>
      </w:r>
      <w:r w:rsidRPr="00BE536E">
        <w:rPr>
          <w:rFonts w:ascii="Verdana" w:hAnsi="Verdana" w:cs="Verdana"/>
        </w:rPr>
        <w:t xml:space="preserve">. </w:t>
      </w:r>
    </w:p>
    <w:p w14:paraId="6A133A75" w14:textId="77777777" w:rsidR="000425C8" w:rsidRPr="00BE536E" w:rsidRDefault="000425C8" w:rsidP="0086333C">
      <w:pPr>
        <w:pStyle w:val="10"/>
        <w:numPr>
          <w:ilvl w:val="0"/>
          <w:numId w:val="0"/>
        </w:numPr>
        <w:spacing w:before="240" w:line="360" w:lineRule="auto"/>
        <w:jc w:val="both"/>
        <w:rPr>
          <w:rFonts w:ascii="Verdana" w:hAnsi="Verdana" w:cs="Arial"/>
          <w:caps/>
          <w:color w:val="943634"/>
          <w:sz w:val="24"/>
        </w:rPr>
      </w:pPr>
      <w:bookmarkStart w:id="9" w:name="_Toc27400757"/>
      <w:r w:rsidRPr="00BE536E">
        <w:rPr>
          <w:rFonts w:ascii="Verdana" w:hAnsi="Verdana" w:cs="Arial"/>
          <w:caps/>
          <w:color w:val="943634"/>
          <w:sz w:val="24"/>
        </w:rPr>
        <w:t>Перерасчет СЧА</w:t>
      </w:r>
      <w:bookmarkEnd w:id="9"/>
    </w:p>
    <w:p w14:paraId="7EB686EC" w14:textId="77777777" w:rsidR="00B96BCA" w:rsidRPr="00BE536E" w:rsidRDefault="00B96BCA" w:rsidP="00B96BCA">
      <w:pPr>
        <w:spacing w:before="120" w:after="120" w:line="360" w:lineRule="auto"/>
        <w:jc w:val="both"/>
        <w:rPr>
          <w:rFonts w:ascii="Verdana" w:hAnsi="Verdana" w:cs="Verdana"/>
        </w:rPr>
      </w:pPr>
      <w:r w:rsidRPr="00BE536E">
        <w:rPr>
          <w:rFonts w:ascii="Verdana" w:hAnsi="Verdana" w:cs="Verdana"/>
        </w:rPr>
        <w:t xml:space="preserve">В случаях выявления ошибки в расчете СЧА и расчетной стоимости одного инвестиционного пая, приводящей к отклонению использованной в расчете стоимости актива (обязательства) в размере 0,1% и более корректной СЧА, и/или отклонение СЧА на этот момент расчета составляет 0,1% и более корректной СЧА, а так же в случаях выявления факта несвоевременного признания/прекращения признания актива (обязательства) вне зависимости от стоимости такого актива (обязательства) Специализированный депозитарий и Управляющая компания производят пересчет СЧА и расчетной стоимости инвестиционного пая. Исправления в учет ПИФ для осуществления пересчета СЧА вносятся датами, в которых были допущены отклонения справедливой стоимости и стоимости чистых активов ПИФ.  Управляющая компания осуществляет возмещение ущерба владельцам </w:t>
      </w:r>
      <w:r w:rsidRPr="00BE536E">
        <w:rPr>
          <w:rFonts w:ascii="Verdana" w:hAnsi="Verdana" w:cs="Verdana"/>
        </w:rPr>
        <w:lastRenderedPageBreak/>
        <w:t xml:space="preserve">инвестиционных паев в соответствии с Правилами ДУ ПИФ и нормативными правовыми актами Российской Федерации в срок не более 7 календарных дней с даты завершения пересчета всех значений СЧА, в которых были выявлены отклонения, и отражения суммы задолженности Управляющей компании в  учете ПИФ.  </w:t>
      </w:r>
    </w:p>
    <w:p w14:paraId="3B630592" w14:textId="77777777" w:rsidR="00B804CE" w:rsidRPr="00BE536E" w:rsidRDefault="00B96BCA" w:rsidP="0086333C">
      <w:pPr>
        <w:spacing w:before="120" w:after="120" w:line="360" w:lineRule="auto"/>
        <w:jc w:val="both"/>
        <w:rPr>
          <w:rFonts w:ascii="Verdana" w:hAnsi="Verdana" w:cs="Verdana"/>
        </w:rPr>
      </w:pPr>
      <w:r w:rsidRPr="00BE536E">
        <w:rPr>
          <w:rFonts w:ascii="Verdana" w:hAnsi="Verdana" w:cs="Verdana"/>
        </w:rPr>
        <w:t>Если выявленное отклонение использованной в расчете стоимости актива (обязательства) составляет менее чем 0,1% корректной СЧА, и отклонение СЧА на этот момент расчета составляет менее 0,1% корректной СЧА, Управляющая компания и Специализированный депозитарий определяют, не привело ли выявленное отклонение к последующим отклонениям в части, использованной в расчете стоимости актива (обязательства), и СЧА, составляющим менее 0,1%  корректной СЧА, и в случае отсутствия превышений более 0,1% вносят необходимые исправления в учет ПИФ в текущей дате (дате выявления отклонения). Управляющая компания и Специализированный депозитарий обязаны принять меры для предотвращения повторения выявленной ситуации</w:t>
      </w:r>
      <w:r w:rsidR="0080268E" w:rsidRPr="00BE536E">
        <w:rPr>
          <w:rFonts w:ascii="Verdana" w:hAnsi="Verdana" w:cs="Verdana"/>
        </w:rPr>
        <w:t>.</w:t>
      </w:r>
      <w:r w:rsidR="00B804CE" w:rsidRPr="00BE536E">
        <w:rPr>
          <w:rFonts w:ascii="Verdana" w:hAnsi="Verdana" w:cs="Verdana"/>
        </w:rPr>
        <w:t xml:space="preserve"> </w:t>
      </w:r>
    </w:p>
    <w:p w14:paraId="60D97300" w14:textId="77777777" w:rsidR="003F0B27" w:rsidRPr="00BE536E" w:rsidRDefault="003F0B27">
      <w:pPr>
        <w:spacing w:after="0" w:line="240" w:lineRule="auto"/>
        <w:rPr>
          <w:rFonts w:ascii="Verdana" w:hAnsi="Verdana"/>
        </w:rPr>
      </w:pPr>
      <w:r w:rsidRPr="00BE536E">
        <w:rPr>
          <w:rFonts w:ascii="Verdana" w:hAnsi="Verdana"/>
        </w:rPr>
        <w:br w:type="page"/>
      </w:r>
    </w:p>
    <w:p w14:paraId="111DB359" w14:textId="77777777" w:rsidR="0049509C" w:rsidRPr="00BE536E" w:rsidRDefault="004C218F" w:rsidP="004C218F">
      <w:pPr>
        <w:pStyle w:val="10"/>
        <w:numPr>
          <w:ilvl w:val="0"/>
          <w:numId w:val="0"/>
        </w:numPr>
        <w:spacing w:before="240" w:line="360" w:lineRule="auto"/>
        <w:jc w:val="left"/>
        <w:rPr>
          <w:rFonts w:ascii="Verdana" w:hAnsi="Verdana" w:cs="Arial"/>
          <w:caps/>
          <w:color w:val="943634"/>
          <w:sz w:val="24"/>
        </w:rPr>
      </w:pPr>
      <w:bookmarkStart w:id="10" w:name="_Toc27400758"/>
      <w:r w:rsidRPr="00BE536E">
        <w:rPr>
          <w:rFonts w:ascii="Verdana" w:hAnsi="Verdana" w:cs="Arial"/>
          <w:b w:val="0"/>
          <w:caps/>
          <w:color w:val="943634"/>
          <w:sz w:val="24"/>
        </w:rPr>
        <w:lastRenderedPageBreak/>
        <w:t>Приложение 1.</w:t>
      </w:r>
      <w:r w:rsidRPr="00BE536E">
        <w:rPr>
          <w:rFonts w:ascii="Verdana" w:hAnsi="Verdana" w:cs="Arial"/>
          <w:caps/>
          <w:color w:val="943634"/>
          <w:sz w:val="24"/>
        </w:rPr>
        <w:t xml:space="preserve"> </w:t>
      </w:r>
      <w:r w:rsidR="0049509C" w:rsidRPr="00BE536E">
        <w:rPr>
          <w:rFonts w:ascii="Verdana" w:hAnsi="Verdana" w:cs="Arial"/>
          <w:caps/>
          <w:color w:val="943634"/>
          <w:sz w:val="24"/>
        </w:rPr>
        <w:t>Перечень активов, подлежащих оценке оценщиком</w:t>
      </w:r>
      <w:bookmarkEnd w:id="10"/>
    </w:p>
    <w:p w14:paraId="3B7629D6" w14:textId="77777777" w:rsidR="0049509C" w:rsidRPr="00BE536E" w:rsidRDefault="0049509C" w:rsidP="00211A11">
      <w:pPr>
        <w:spacing w:before="120" w:after="120" w:line="360" w:lineRule="auto"/>
        <w:jc w:val="both"/>
        <w:rPr>
          <w:rFonts w:ascii="Verdana" w:hAnsi="Verdana" w:cs="Verdana"/>
        </w:rPr>
      </w:pPr>
      <w:r w:rsidRPr="00BE536E">
        <w:rPr>
          <w:rFonts w:ascii="Verdana" w:hAnsi="Verdana" w:cs="Verdana"/>
        </w:rPr>
        <w:tab/>
        <w:t xml:space="preserve">На основании отчета оценщика в </w:t>
      </w:r>
      <w:r w:rsidR="00B021CB" w:rsidRPr="00BE536E">
        <w:rPr>
          <w:rFonts w:ascii="Verdana" w:hAnsi="Verdana" w:cs="Verdana"/>
        </w:rPr>
        <w:t>ПИФ</w:t>
      </w:r>
      <w:r w:rsidRPr="00BE536E">
        <w:rPr>
          <w:rFonts w:ascii="Verdana" w:hAnsi="Verdana" w:cs="Verdana"/>
        </w:rPr>
        <w:t xml:space="preserve"> оцениваются следующие активы:</w:t>
      </w:r>
    </w:p>
    <w:tbl>
      <w:tblPr>
        <w:tblW w:w="0" w:type="auto"/>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9526"/>
      </w:tblGrid>
      <w:tr w:rsidR="00FF08F1" w:rsidRPr="00BE536E" w14:paraId="253FB9E2" w14:textId="77777777" w:rsidTr="00FF08F1">
        <w:tc>
          <w:tcPr>
            <w:tcW w:w="9526" w:type="dxa"/>
            <w:shd w:val="clear" w:color="auto" w:fill="A6A6A6"/>
          </w:tcPr>
          <w:p w14:paraId="3F2FBBAD" w14:textId="77777777" w:rsidR="00FF08F1" w:rsidRPr="00BE536E" w:rsidRDefault="00FF08F1" w:rsidP="00D11056">
            <w:pPr>
              <w:autoSpaceDE w:val="0"/>
              <w:autoSpaceDN w:val="0"/>
              <w:adjustRightInd w:val="0"/>
              <w:spacing w:after="0" w:line="240" w:lineRule="auto"/>
              <w:jc w:val="center"/>
              <w:rPr>
                <w:rFonts w:ascii="Verdana" w:hAnsi="Verdana" w:cs="Verdana"/>
                <w:b/>
                <w:i/>
                <w:sz w:val="20"/>
                <w:szCs w:val="20"/>
              </w:rPr>
            </w:pPr>
            <w:r w:rsidRPr="00BE536E">
              <w:rPr>
                <w:rFonts w:ascii="Verdana" w:hAnsi="Verdana" w:cs="Verdana"/>
                <w:b/>
                <w:i/>
                <w:sz w:val="20"/>
                <w:szCs w:val="20"/>
              </w:rPr>
              <w:t>Описание</w:t>
            </w:r>
          </w:p>
        </w:tc>
      </w:tr>
      <w:tr w:rsidR="00B96BCA" w:rsidRPr="00BE536E" w14:paraId="3BB44DF0" w14:textId="77777777" w:rsidTr="00567222">
        <w:tc>
          <w:tcPr>
            <w:tcW w:w="9526" w:type="dxa"/>
            <w:shd w:val="clear" w:color="auto" w:fill="auto"/>
            <w:vAlign w:val="center"/>
          </w:tcPr>
          <w:p w14:paraId="18CAEB5F" w14:textId="77777777" w:rsidR="00B96BCA" w:rsidRPr="00BE536E" w:rsidRDefault="00B96BCA" w:rsidP="00B96BCA">
            <w:pPr>
              <w:autoSpaceDE w:val="0"/>
              <w:autoSpaceDN w:val="0"/>
              <w:adjustRightInd w:val="0"/>
              <w:spacing w:after="0" w:line="240" w:lineRule="auto"/>
              <w:jc w:val="both"/>
              <w:rPr>
                <w:rFonts w:ascii="Verdana" w:hAnsi="Verdana"/>
                <w:sz w:val="20"/>
                <w:szCs w:val="20"/>
              </w:rPr>
            </w:pPr>
            <w:r w:rsidRPr="00BE536E">
              <w:rPr>
                <w:color w:val="000000" w:themeColor="text1"/>
                <w:sz w:val="24"/>
                <w:szCs w:val="24"/>
                <w:lang w:eastAsia="ru-RU"/>
              </w:rPr>
              <w:t>Ценные бумаги и финансовые инструменты (в том числе и неквалифицированные), по которым невозможны иные способы определения справедливой стоимости</w:t>
            </w:r>
          </w:p>
        </w:tc>
      </w:tr>
      <w:tr w:rsidR="00B96BCA" w:rsidRPr="00BE536E" w14:paraId="2CA0900D" w14:textId="77777777" w:rsidTr="00567222">
        <w:trPr>
          <w:trHeight w:val="529"/>
        </w:trPr>
        <w:tc>
          <w:tcPr>
            <w:tcW w:w="9526" w:type="dxa"/>
            <w:shd w:val="clear" w:color="auto" w:fill="auto"/>
            <w:vAlign w:val="center"/>
          </w:tcPr>
          <w:p w14:paraId="0F1ED365" w14:textId="77777777" w:rsidR="00B96BCA" w:rsidRPr="00BE536E" w:rsidRDefault="00B96BCA" w:rsidP="00B96BCA">
            <w:pPr>
              <w:jc w:val="both"/>
              <w:rPr>
                <w:rFonts w:ascii="Verdana" w:hAnsi="Verdana" w:cs="Verdana"/>
              </w:rPr>
            </w:pPr>
            <w:r w:rsidRPr="00BE536E">
              <w:rPr>
                <w:color w:val="000000" w:themeColor="text1"/>
                <w:sz w:val="24"/>
                <w:szCs w:val="24"/>
              </w:rPr>
              <w:t>Доли в уставных капиталах российских обществ с ограниченной ответственностью</w:t>
            </w:r>
          </w:p>
        </w:tc>
      </w:tr>
      <w:tr w:rsidR="00B96BCA" w:rsidRPr="00BE536E" w14:paraId="6AEACCCA" w14:textId="77777777" w:rsidTr="00567222">
        <w:tc>
          <w:tcPr>
            <w:tcW w:w="9526" w:type="dxa"/>
            <w:shd w:val="clear" w:color="auto" w:fill="auto"/>
            <w:vAlign w:val="center"/>
          </w:tcPr>
          <w:p w14:paraId="04A9388B" w14:textId="77777777" w:rsidR="00B96BCA" w:rsidRPr="00BE536E" w:rsidRDefault="00B96BCA" w:rsidP="00B96BCA">
            <w:pPr>
              <w:autoSpaceDE w:val="0"/>
              <w:autoSpaceDN w:val="0"/>
              <w:adjustRightInd w:val="0"/>
              <w:spacing w:after="0" w:line="240" w:lineRule="auto"/>
              <w:jc w:val="both"/>
              <w:rPr>
                <w:rFonts w:ascii="Verdana" w:hAnsi="Verdana"/>
                <w:sz w:val="20"/>
                <w:szCs w:val="20"/>
              </w:rPr>
            </w:pPr>
            <w:r w:rsidRPr="00BE536E">
              <w:rPr>
                <w:color w:val="000000" w:themeColor="text1"/>
                <w:sz w:val="24"/>
                <w:szCs w:val="24"/>
                <w:lang w:eastAsia="ru-RU"/>
              </w:rPr>
              <w:t>Недвижимое имущество</w:t>
            </w:r>
          </w:p>
        </w:tc>
      </w:tr>
      <w:tr w:rsidR="00B96BCA" w:rsidRPr="00BE536E" w14:paraId="60F65884" w14:textId="77777777" w:rsidTr="00567222">
        <w:tc>
          <w:tcPr>
            <w:tcW w:w="9526" w:type="dxa"/>
            <w:shd w:val="clear" w:color="auto" w:fill="auto"/>
            <w:vAlign w:val="center"/>
          </w:tcPr>
          <w:p w14:paraId="4CBF463C" w14:textId="77777777" w:rsidR="00B96BCA" w:rsidRPr="00BE536E" w:rsidRDefault="00B96BCA" w:rsidP="00B96BCA">
            <w:pPr>
              <w:autoSpaceDE w:val="0"/>
              <w:autoSpaceDN w:val="0"/>
              <w:adjustRightInd w:val="0"/>
              <w:spacing w:after="0" w:line="240" w:lineRule="auto"/>
              <w:jc w:val="both"/>
              <w:rPr>
                <w:rFonts w:ascii="Verdana" w:hAnsi="Verdana"/>
                <w:sz w:val="20"/>
                <w:szCs w:val="20"/>
              </w:rPr>
            </w:pPr>
            <w:r w:rsidRPr="00BE536E">
              <w:rPr>
                <w:color w:val="000000" w:themeColor="text1"/>
                <w:sz w:val="24"/>
                <w:szCs w:val="24"/>
                <w:lang w:eastAsia="ru-RU"/>
              </w:rPr>
              <w:t>Имущественные права из договоров участия в долевом строительстве</w:t>
            </w:r>
          </w:p>
        </w:tc>
      </w:tr>
      <w:tr w:rsidR="00B96BCA" w:rsidRPr="00BE536E" w14:paraId="7987CD4C" w14:textId="77777777" w:rsidTr="00567222">
        <w:trPr>
          <w:trHeight w:val="537"/>
        </w:trPr>
        <w:tc>
          <w:tcPr>
            <w:tcW w:w="9526" w:type="dxa"/>
            <w:shd w:val="clear" w:color="auto" w:fill="auto"/>
            <w:vAlign w:val="center"/>
          </w:tcPr>
          <w:p w14:paraId="65AEAF4B" w14:textId="77777777" w:rsidR="00B96BCA" w:rsidRPr="00BE536E"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w:t>
            </w:r>
          </w:p>
        </w:tc>
      </w:tr>
      <w:tr w:rsidR="00B96BCA" w:rsidRPr="00BE536E" w14:paraId="339BBEC3" w14:textId="77777777" w:rsidTr="00567222">
        <w:tc>
          <w:tcPr>
            <w:tcW w:w="9526" w:type="dxa"/>
            <w:shd w:val="clear" w:color="auto" w:fill="auto"/>
            <w:vAlign w:val="center"/>
          </w:tcPr>
          <w:p w14:paraId="69DBE2E1" w14:textId="77777777" w:rsidR="00B96BCA" w:rsidRPr="00BE536E"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Проектная документация для строительства или реконструкции объекта недвижимости</w:t>
            </w:r>
          </w:p>
        </w:tc>
      </w:tr>
      <w:tr w:rsidR="00B96BCA" w:rsidRPr="00BE536E" w14:paraId="76906C15" w14:textId="77777777" w:rsidTr="00567222">
        <w:tc>
          <w:tcPr>
            <w:tcW w:w="9526" w:type="dxa"/>
            <w:shd w:val="clear" w:color="auto" w:fill="auto"/>
            <w:vAlign w:val="center"/>
          </w:tcPr>
          <w:p w14:paraId="78F1FD54" w14:textId="77777777" w:rsidR="00B96BCA" w:rsidRPr="00BE536E"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Права аренды недвижимого имущества (операционная аренда)</w:t>
            </w:r>
          </w:p>
        </w:tc>
      </w:tr>
      <w:tr w:rsidR="00B96BCA" w:rsidRPr="00BE536E" w14:paraId="21CE2CF0" w14:textId="77777777" w:rsidTr="00FF08F1">
        <w:tc>
          <w:tcPr>
            <w:tcW w:w="9526" w:type="dxa"/>
            <w:shd w:val="clear" w:color="auto" w:fill="auto"/>
          </w:tcPr>
          <w:p w14:paraId="1D8F697A" w14:textId="77777777" w:rsidR="00B96BCA" w:rsidRPr="00BE536E" w:rsidDel="00B96BCA"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Простые векселя (только при отсутствии иных способов определения справедливой стоимости)</w:t>
            </w:r>
          </w:p>
        </w:tc>
      </w:tr>
      <w:tr w:rsidR="00B96BCA" w:rsidRPr="00BE536E" w14:paraId="7A1A52E4" w14:textId="77777777" w:rsidTr="00FF08F1">
        <w:tc>
          <w:tcPr>
            <w:tcW w:w="9526" w:type="dxa"/>
            <w:shd w:val="clear" w:color="auto" w:fill="auto"/>
          </w:tcPr>
          <w:p w14:paraId="37420082" w14:textId="77777777" w:rsidR="00B96BCA" w:rsidRPr="00BE536E" w:rsidDel="00B96BCA"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Дебиторская задолженность, в случае наличия признаков обесценения и невозможности применения иных методов определения справедливой стоимости</w:t>
            </w:r>
          </w:p>
        </w:tc>
      </w:tr>
    </w:tbl>
    <w:p w14:paraId="5EEAE299" w14:textId="77777777" w:rsidR="004C218F" w:rsidRPr="00BE536E" w:rsidRDefault="004C218F" w:rsidP="004C218F">
      <w:pPr>
        <w:rPr>
          <w:rFonts w:ascii="Verdana" w:hAnsi="Verdana"/>
        </w:rPr>
      </w:pPr>
      <w:bookmarkStart w:id="11" w:name="приложение_2"/>
    </w:p>
    <w:bookmarkEnd w:id="11"/>
    <w:p w14:paraId="7403E577" w14:textId="77777777" w:rsidR="002A1634" w:rsidRPr="00BE536E" w:rsidRDefault="002A1634" w:rsidP="00C40786">
      <w:pPr>
        <w:spacing w:after="0"/>
        <w:ind w:left="9923"/>
        <w:jc w:val="both"/>
        <w:rPr>
          <w:rFonts w:ascii="Verdana" w:hAnsi="Verdana" w:cs="Arial"/>
          <w:b/>
          <w:sz w:val="20"/>
          <w:szCs w:val="20"/>
        </w:rPr>
        <w:sectPr w:rsidR="002A1634" w:rsidRPr="00BE536E" w:rsidSect="00D41B68">
          <w:footerReference w:type="default" r:id="rId10"/>
          <w:pgSz w:w="12240" w:h="15840"/>
          <w:pgMar w:top="1134" w:right="709" w:bottom="992" w:left="1701" w:header="720" w:footer="720" w:gutter="0"/>
          <w:cols w:space="720"/>
          <w:noEndnote/>
          <w:docGrid w:linePitch="299"/>
        </w:sectPr>
      </w:pPr>
    </w:p>
    <w:p w14:paraId="5486F6EC" w14:textId="77777777" w:rsidR="00716C19" w:rsidRPr="00BE536E" w:rsidRDefault="00733644" w:rsidP="00733644">
      <w:pPr>
        <w:pStyle w:val="10"/>
        <w:numPr>
          <w:ilvl w:val="0"/>
          <w:numId w:val="0"/>
        </w:numPr>
        <w:spacing w:before="240" w:line="360" w:lineRule="auto"/>
        <w:jc w:val="left"/>
        <w:rPr>
          <w:rFonts w:ascii="Verdana" w:hAnsi="Verdana" w:cs="Arial"/>
          <w:b w:val="0"/>
          <w:caps/>
          <w:color w:val="943634"/>
          <w:sz w:val="24"/>
        </w:rPr>
      </w:pPr>
      <w:bookmarkStart w:id="12" w:name="_Toc27400760"/>
      <w:r w:rsidRPr="00BE536E">
        <w:rPr>
          <w:rFonts w:ascii="Verdana" w:hAnsi="Verdana" w:cs="Arial"/>
          <w:b w:val="0"/>
          <w:caps/>
          <w:color w:val="943634"/>
          <w:sz w:val="24"/>
        </w:rPr>
        <w:lastRenderedPageBreak/>
        <w:t xml:space="preserve">Приложение </w:t>
      </w:r>
      <w:r w:rsidR="00170ECE" w:rsidRPr="00BE536E">
        <w:rPr>
          <w:rFonts w:ascii="Verdana" w:hAnsi="Verdana" w:cs="Arial"/>
          <w:b w:val="0"/>
          <w:caps/>
          <w:color w:val="943634"/>
          <w:sz w:val="24"/>
        </w:rPr>
        <w:t>2</w:t>
      </w:r>
      <w:r w:rsidRPr="00BE536E">
        <w:rPr>
          <w:rFonts w:ascii="Verdana" w:hAnsi="Verdana" w:cs="Arial"/>
          <w:b w:val="0"/>
          <w:caps/>
          <w:color w:val="943634"/>
          <w:sz w:val="24"/>
        </w:rPr>
        <w:t xml:space="preserve">. </w:t>
      </w:r>
      <w:r w:rsidR="00716C19" w:rsidRPr="00BE536E">
        <w:rPr>
          <w:rFonts w:ascii="Verdana" w:hAnsi="Verdana" w:cs="Arial"/>
          <w:caps/>
          <w:color w:val="943634"/>
          <w:sz w:val="24"/>
        </w:rPr>
        <w:t>Модели оценки стоимости ценных бумаг</w:t>
      </w:r>
      <w:bookmarkEnd w:id="12"/>
    </w:p>
    <w:p w14:paraId="58BB9CC4" w14:textId="77777777" w:rsidR="0001748B" w:rsidRPr="00BE536E" w:rsidRDefault="003E2F75" w:rsidP="00733644">
      <w:pPr>
        <w:spacing w:before="120" w:after="120" w:line="360" w:lineRule="auto"/>
        <w:jc w:val="both"/>
        <w:rPr>
          <w:rFonts w:ascii="Verdana" w:hAnsi="Verdana"/>
        </w:rPr>
      </w:pPr>
      <w:r w:rsidRPr="00BE536E">
        <w:rPr>
          <w:rFonts w:ascii="Verdana" w:hAnsi="Verdana"/>
          <w:b/>
        </w:rPr>
        <w:t>Активным рынком</w:t>
      </w:r>
      <w:r w:rsidRPr="00BE536E">
        <w:rPr>
          <w:rFonts w:ascii="Verdana" w:hAnsi="Verdana"/>
        </w:rPr>
        <w:t xml:space="preserve"> для ценных бумаг,  допущенных к торгам на российской или иностранной бирж</w:t>
      </w:r>
      <w:r w:rsidR="002B0EBF" w:rsidRPr="00BE536E">
        <w:rPr>
          <w:rFonts w:ascii="Verdana" w:hAnsi="Verdana"/>
        </w:rPr>
        <w:t xml:space="preserve">е </w:t>
      </w:r>
      <w:r w:rsidR="00D869BC" w:rsidRPr="00BE536E">
        <w:rPr>
          <w:rFonts w:ascii="Verdana" w:hAnsi="Verdana"/>
        </w:rPr>
        <w:t>(</w:t>
      </w:r>
      <w:r w:rsidR="002B0EBF" w:rsidRPr="00BE536E">
        <w:rPr>
          <w:rFonts w:ascii="Verdana" w:hAnsi="Verdana"/>
        </w:rPr>
        <w:t xml:space="preserve">за </w:t>
      </w:r>
      <w:r w:rsidRPr="00BE536E">
        <w:rPr>
          <w:rFonts w:ascii="Verdana" w:hAnsi="Verdana"/>
        </w:rPr>
        <w:t xml:space="preserve">исключением облигаций внешних облигационных займов Российской Федерации) признается доступная и наблюдаемая биржевая площадка </w:t>
      </w:r>
      <w:r w:rsidR="0001748B" w:rsidRPr="00BE536E">
        <w:rPr>
          <w:rFonts w:ascii="Verdana" w:hAnsi="Verdana"/>
        </w:rPr>
        <w:t>в случае</w:t>
      </w:r>
      <w:r w:rsidR="002B0EBF" w:rsidRPr="00BE536E">
        <w:rPr>
          <w:rFonts w:ascii="Verdana" w:hAnsi="Verdana"/>
        </w:rPr>
        <w:t xml:space="preserve"> одновременного соблюдения нижеперечисленных условий</w:t>
      </w:r>
      <w:r w:rsidR="00880CE4" w:rsidRPr="00BE536E">
        <w:rPr>
          <w:rStyle w:val="ab"/>
          <w:rFonts w:ascii="Verdana" w:hAnsi="Verdana"/>
        </w:rPr>
        <w:footnoteReference w:id="2"/>
      </w:r>
      <w:r w:rsidR="0001748B" w:rsidRPr="00BE536E">
        <w:rPr>
          <w:rFonts w:ascii="Verdana" w:hAnsi="Verdana"/>
        </w:rPr>
        <w:t>:</w:t>
      </w:r>
    </w:p>
    <w:p w14:paraId="3079EDA9" w14:textId="77777777" w:rsidR="00777B4B" w:rsidRPr="00BE536E" w:rsidRDefault="0001748B" w:rsidP="00D05311">
      <w:pPr>
        <w:numPr>
          <w:ilvl w:val="0"/>
          <w:numId w:val="26"/>
        </w:numPr>
        <w:spacing w:line="360" w:lineRule="auto"/>
        <w:jc w:val="both"/>
        <w:rPr>
          <w:rFonts w:ascii="Verdana" w:hAnsi="Verdana"/>
        </w:rPr>
      </w:pPr>
      <w:r w:rsidRPr="00BE536E">
        <w:rPr>
          <w:rFonts w:ascii="Verdana" w:hAnsi="Verdana"/>
        </w:rPr>
        <w:t xml:space="preserve">ценная бумага допущена к торгам </w:t>
      </w:r>
      <w:r w:rsidR="00B4541A" w:rsidRPr="00BE536E">
        <w:rPr>
          <w:rFonts w:ascii="Verdana" w:hAnsi="Verdana"/>
        </w:rPr>
        <w:t>на российск</w:t>
      </w:r>
      <w:r w:rsidR="008D246B" w:rsidRPr="00BE536E">
        <w:rPr>
          <w:rFonts w:ascii="Verdana" w:hAnsi="Verdana"/>
        </w:rPr>
        <w:t>ой</w:t>
      </w:r>
      <w:r w:rsidR="00B4541A" w:rsidRPr="00BE536E">
        <w:rPr>
          <w:rFonts w:ascii="Verdana" w:hAnsi="Verdana"/>
        </w:rPr>
        <w:t xml:space="preserve"> или иностранн</w:t>
      </w:r>
      <w:r w:rsidR="008D246B" w:rsidRPr="00BE536E">
        <w:rPr>
          <w:rFonts w:ascii="Verdana" w:hAnsi="Verdana"/>
        </w:rPr>
        <w:t>ой бирже</w:t>
      </w:r>
      <w:r w:rsidR="00B4541A" w:rsidRPr="00BE536E">
        <w:rPr>
          <w:rFonts w:ascii="Verdana" w:hAnsi="Verdana"/>
        </w:rPr>
        <w:t>, приведенной</w:t>
      </w:r>
      <w:r w:rsidR="0013782F" w:rsidRPr="00BE536E">
        <w:rPr>
          <w:rFonts w:ascii="Verdana" w:hAnsi="Verdana"/>
        </w:rPr>
        <w:t xml:space="preserve"> в Приложении </w:t>
      </w:r>
      <w:r w:rsidR="00170ECE" w:rsidRPr="00BE536E">
        <w:rPr>
          <w:rFonts w:ascii="Verdana" w:hAnsi="Verdana"/>
        </w:rPr>
        <w:t>3</w:t>
      </w:r>
      <w:r w:rsidR="00B4541A" w:rsidRPr="00BE536E">
        <w:rPr>
          <w:rFonts w:ascii="Verdana" w:hAnsi="Verdana"/>
        </w:rPr>
        <w:t>;</w:t>
      </w:r>
    </w:p>
    <w:p w14:paraId="509F39CB" w14:textId="77777777" w:rsidR="00777B4B" w:rsidRPr="00BE536E" w:rsidRDefault="00B4541A" w:rsidP="00D05311">
      <w:pPr>
        <w:numPr>
          <w:ilvl w:val="0"/>
          <w:numId w:val="26"/>
        </w:numPr>
        <w:spacing w:line="360" w:lineRule="auto"/>
        <w:jc w:val="both"/>
        <w:rPr>
          <w:rFonts w:ascii="Verdana" w:hAnsi="Verdana"/>
        </w:rPr>
      </w:pPr>
      <w:r w:rsidRPr="00BE536E">
        <w:rPr>
          <w:rFonts w:ascii="Verdana" w:hAnsi="Verdana"/>
        </w:rPr>
        <w:t>наличия цены (котировки) на дату определения справедливой стоимости</w:t>
      </w:r>
      <w:r w:rsidR="00D17C86" w:rsidRPr="00BE536E">
        <w:rPr>
          <w:rFonts w:ascii="Verdana" w:hAnsi="Verdana"/>
        </w:rPr>
        <w:t xml:space="preserve"> (в случае, если на всех доступных и наблюдаемых биржевых площадках был неторговый день на дату определения СЧА – анализируются данные последнего торгового дня на данных площадках</w:t>
      </w:r>
      <w:r w:rsidR="00B61F8B" w:rsidRPr="00BE536E">
        <w:rPr>
          <w:rFonts w:ascii="Verdana" w:hAnsi="Verdana"/>
        </w:rPr>
        <w:t>, предшествующего неторговому</w:t>
      </w:r>
      <w:r w:rsidR="00D17C86" w:rsidRPr="00BE536E">
        <w:rPr>
          <w:rFonts w:ascii="Verdana" w:hAnsi="Verdana"/>
        </w:rPr>
        <w:t>)</w:t>
      </w:r>
      <w:r w:rsidRPr="00BE536E">
        <w:rPr>
          <w:rFonts w:ascii="Verdana" w:hAnsi="Verdana"/>
        </w:rPr>
        <w:t>;</w:t>
      </w:r>
    </w:p>
    <w:p w14:paraId="077912F1" w14:textId="77777777" w:rsidR="00777B4B" w:rsidRPr="00BE536E" w:rsidRDefault="00B4541A" w:rsidP="00D05311">
      <w:pPr>
        <w:numPr>
          <w:ilvl w:val="0"/>
          <w:numId w:val="26"/>
        </w:numPr>
        <w:spacing w:line="360" w:lineRule="auto"/>
        <w:jc w:val="both"/>
        <w:rPr>
          <w:rFonts w:ascii="Verdana" w:hAnsi="Verdana"/>
        </w:rPr>
      </w:pPr>
      <w:r w:rsidRPr="00BE536E">
        <w:rPr>
          <w:rFonts w:ascii="Verdana" w:hAnsi="Verdana"/>
        </w:rPr>
        <w:t>количество сделок за последние 10 (Десять) торговых дней</w:t>
      </w:r>
      <w:r w:rsidR="004016FB" w:rsidRPr="00BE536E">
        <w:rPr>
          <w:rFonts w:ascii="Verdana" w:hAnsi="Verdana"/>
        </w:rPr>
        <w:t xml:space="preserve"> в режиме основных торгов</w:t>
      </w:r>
      <w:r w:rsidRPr="00BE536E">
        <w:rPr>
          <w:rFonts w:ascii="Verdana" w:hAnsi="Verdana"/>
        </w:rPr>
        <w:t xml:space="preserve"> – 10 (Десять) и более;</w:t>
      </w:r>
    </w:p>
    <w:p w14:paraId="4AD85422" w14:textId="77777777" w:rsidR="00D5444D" w:rsidRPr="00BE536E" w:rsidRDefault="00B4541A" w:rsidP="00305ACB">
      <w:pPr>
        <w:numPr>
          <w:ilvl w:val="0"/>
          <w:numId w:val="26"/>
        </w:numPr>
        <w:spacing w:after="0" w:line="240" w:lineRule="auto"/>
        <w:jc w:val="both"/>
        <w:rPr>
          <w:rFonts w:ascii="Verdana" w:hAnsi="Verdana"/>
        </w:rPr>
      </w:pPr>
      <w:r w:rsidRPr="00BE536E">
        <w:rPr>
          <w:rFonts w:ascii="Verdana" w:hAnsi="Verdana"/>
        </w:rPr>
        <w:t xml:space="preserve">совокупный объем сделок за последние 10 торговых дней превысил 500 000 (Пятьсот тысяч) рублей </w:t>
      </w:r>
      <w:r w:rsidR="008C0FCF" w:rsidRPr="00BE536E">
        <w:rPr>
          <w:rFonts w:ascii="Verdana" w:hAnsi="Verdana"/>
        </w:rPr>
        <w:t>(или соответствующий рублевый эквивалент</w:t>
      </w:r>
      <w:r w:rsidR="003E2F75" w:rsidRPr="00BE536E">
        <w:rPr>
          <w:rFonts w:ascii="Verdana" w:hAnsi="Verdana"/>
        </w:rPr>
        <w:t xml:space="preserve"> по курсу Банка России на дату определения активного рынка</w:t>
      </w:r>
      <w:r w:rsidR="008C0FCF" w:rsidRPr="00BE536E">
        <w:rPr>
          <w:rFonts w:ascii="Verdana" w:hAnsi="Verdana"/>
        </w:rPr>
        <w:t xml:space="preserve">, если объем сделок определен в </w:t>
      </w:r>
      <w:r w:rsidR="003E2F75" w:rsidRPr="00BE536E">
        <w:rPr>
          <w:rFonts w:ascii="Verdana" w:hAnsi="Verdana"/>
        </w:rPr>
        <w:t xml:space="preserve">иностранной </w:t>
      </w:r>
      <w:r w:rsidR="008C0FCF" w:rsidRPr="00BE536E">
        <w:rPr>
          <w:rFonts w:ascii="Verdana" w:hAnsi="Verdana"/>
        </w:rPr>
        <w:t>валюте).</w:t>
      </w:r>
      <w:r w:rsidR="00D5444D" w:rsidRPr="00BE536E">
        <w:rPr>
          <w:rFonts w:ascii="Verdana" w:hAnsi="Verdana"/>
        </w:rPr>
        <w:br w:type="page"/>
      </w:r>
    </w:p>
    <w:p w14:paraId="6820791C" w14:textId="77777777" w:rsidR="00E347EC" w:rsidRPr="00BE536E" w:rsidRDefault="00E347EC" w:rsidP="00D5444D">
      <w:pPr>
        <w:spacing w:before="120" w:after="120"/>
        <w:rPr>
          <w:rFonts w:ascii="Verdana" w:hAnsi="Verdana"/>
        </w:rPr>
      </w:pPr>
      <w:r w:rsidRPr="00BE536E">
        <w:rPr>
          <w:rFonts w:ascii="Verdana" w:hAnsi="Verdana"/>
        </w:rPr>
        <w:lastRenderedPageBreak/>
        <w:t xml:space="preserve">Для оценки справедливой стоимости ценных бумаг в целях настоящих правил </w:t>
      </w:r>
      <w:r w:rsidR="0013782F" w:rsidRPr="00BE536E">
        <w:rPr>
          <w:rFonts w:ascii="Verdana" w:hAnsi="Verdana"/>
          <w:b/>
        </w:rPr>
        <w:t>основным рынком</w:t>
      </w:r>
      <w:r w:rsidRPr="00BE536E">
        <w:rPr>
          <w:rFonts w:ascii="Verdana" w:hAnsi="Verdana"/>
        </w:rPr>
        <w:t xml:space="preserve"> признается:</w:t>
      </w:r>
    </w:p>
    <w:tbl>
      <w:tblPr>
        <w:tblpPr w:leftFromText="180" w:rightFromText="180" w:vertAnchor="text" w:horzAnchor="margin" w:tblpY="80"/>
        <w:tblW w:w="5000" w:type="pct"/>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4563"/>
        <w:gridCol w:w="8716"/>
      </w:tblGrid>
      <w:tr w:rsidR="001E372C" w:rsidRPr="00BE536E" w14:paraId="72290A76" w14:textId="77777777" w:rsidTr="00567222">
        <w:tc>
          <w:tcPr>
            <w:tcW w:w="1718" w:type="pct"/>
            <w:shd w:val="clear" w:color="auto" w:fill="A6A6A6" w:themeFill="background1" w:themeFillShade="A6"/>
          </w:tcPr>
          <w:p w14:paraId="40D3226E" w14:textId="77777777" w:rsidR="001E372C" w:rsidRPr="00BE536E" w:rsidRDefault="001E372C" w:rsidP="00C819D7">
            <w:pPr>
              <w:jc w:val="center"/>
              <w:rPr>
                <w:rFonts w:ascii="Verdana" w:hAnsi="Verdana"/>
                <w:b/>
              </w:rPr>
            </w:pPr>
            <w:r w:rsidRPr="00BE536E">
              <w:rPr>
                <w:rFonts w:ascii="Verdana" w:hAnsi="Verdana"/>
                <w:b/>
              </w:rPr>
              <w:t xml:space="preserve">Ценные бумаги </w:t>
            </w:r>
          </w:p>
        </w:tc>
        <w:tc>
          <w:tcPr>
            <w:tcW w:w="3282" w:type="pct"/>
            <w:shd w:val="clear" w:color="auto" w:fill="A6A6A6" w:themeFill="background1" w:themeFillShade="A6"/>
          </w:tcPr>
          <w:p w14:paraId="7EDCA814" w14:textId="77777777" w:rsidR="001E372C" w:rsidRPr="00BE536E" w:rsidRDefault="001E372C" w:rsidP="00C819D7">
            <w:pPr>
              <w:jc w:val="center"/>
              <w:rPr>
                <w:rFonts w:ascii="Verdana" w:hAnsi="Verdana"/>
                <w:b/>
              </w:rPr>
            </w:pPr>
            <w:r w:rsidRPr="00BE536E">
              <w:rPr>
                <w:rFonts w:ascii="Verdana" w:hAnsi="Verdana"/>
                <w:b/>
              </w:rPr>
              <w:t>Основной рынок</w:t>
            </w:r>
          </w:p>
        </w:tc>
      </w:tr>
      <w:tr w:rsidR="001E372C" w:rsidRPr="00BE536E" w14:paraId="144B9AEE" w14:textId="77777777" w:rsidTr="00567222">
        <w:trPr>
          <w:trHeight w:val="2747"/>
        </w:trPr>
        <w:tc>
          <w:tcPr>
            <w:tcW w:w="1718" w:type="pct"/>
          </w:tcPr>
          <w:p w14:paraId="2B83532B" w14:textId="373D47D0" w:rsidR="001E372C" w:rsidRPr="00BE536E" w:rsidRDefault="001E372C" w:rsidP="00C819D7">
            <w:pPr>
              <w:jc w:val="both"/>
              <w:rPr>
                <w:rFonts w:ascii="Verdana" w:hAnsi="Verdana"/>
                <w:b/>
                <w:sz w:val="18"/>
              </w:rPr>
            </w:pPr>
            <w:r w:rsidRPr="00BE536E">
              <w:rPr>
                <w:rFonts w:ascii="Verdana" w:hAnsi="Verdana"/>
                <w:b/>
                <w:sz w:val="18"/>
              </w:rPr>
              <w:t>Ценные бумаги российских эмитентов, а так</w:t>
            </w:r>
            <w:r w:rsidR="004A2C82" w:rsidRPr="00BE536E">
              <w:rPr>
                <w:rFonts w:ascii="Verdana" w:hAnsi="Verdana"/>
                <w:b/>
                <w:sz w:val="18"/>
              </w:rPr>
              <w:t xml:space="preserve"> </w:t>
            </w:r>
            <w:r w:rsidRPr="00BE536E">
              <w:rPr>
                <w:rFonts w:ascii="Verdana" w:hAnsi="Verdana"/>
                <w:b/>
                <w:sz w:val="18"/>
              </w:rPr>
              <w:t>же</w:t>
            </w:r>
            <w:r w:rsidR="004A2C82" w:rsidRPr="00BE536E">
              <w:rPr>
                <w:rFonts w:ascii="Verdana" w:hAnsi="Verdana"/>
                <w:b/>
                <w:sz w:val="18"/>
              </w:rPr>
              <w:t xml:space="preserve"> </w:t>
            </w:r>
            <w:r w:rsidRPr="00BE536E">
              <w:rPr>
                <w:rFonts w:ascii="Verdana" w:hAnsi="Verdana"/>
                <w:b/>
                <w:sz w:val="18"/>
              </w:rPr>
              <w:t>иные ценные бумаги, номинированные в рублях</w:t>
            </w:r>
          </w:p>
          <w:p w14:paraId="681A6DAA" w14:textId="77777777" w:rsidR="001E372C" w:rsidRPr="00BE536E" w:rsidRDefault="001E372C" w:rsidP="00C819D7">
            <w:pPr>
              <w:jc w:val="both"/>
              <w:rPr>
                <w:rFonts w:ascii="Verdana" w:hAnsi="Verdana"/>
                <w:b/>
                <w:sz w:val="18"/>
              </w:rPr>
            </w:pPr>
          </w:p>
        </w:tc>
        <w:tc>
          <w:tcPr>
            <w:tcW w:w="3282" w:type="pct"/>
          </w:tcPr>
          <w:p w14:paraId="58EDF2D1" w14:textId="77777777" w:rsidR="001E372C" w:rsidRPr="00BE536E" w:rsidRDefault="001E372C" w:rsidP="00C819D7">
            <w:pPr>
              <w:jc w:val="both"/>
              <w:rPr>
                <w:rFonts w:ascii="Verdana" w:hAnsi="Verdana"/>
              </w:rPr>
            </w:pPr>
            <w:r w:rsidRPr="00BE536E">
              <w:rPr>
                <w:rFonts w:ascii="Verdana" w:hAnsi="Verdana"/>
              </w:rPr>
              <w:t>Российская биржа из числа активных рынков, по которой определен наибольший совокупный объем сделок по количеству ценных бумаг за последние 10 торговых дней.</w:t>
            </w:r>
          </w:p>
          <w:p w14:paraId="3B891085" w14:textId="77777777" w:rsidR="001E372C" w:rsidRPr="00BE536E" w:rsidRDefault="001E372C" w:rsidP="00C819D7">
            <w:pPr>
              <w:jc w:val="both"/>
              <w:rPr>
                <w:rFonts w:ascii="Verdana" w:hAnsi="Verdana"/>
              </w:rPr>
            </w:pPr>
            <w:r w:rsidRPr="00BE536E">
              <w:rPr>
                <w:rFonts w:ascii="Verdana" w:hAnsi="Verdana"/>
              </w:rPr>
              <w:t xml:space="preserve">При отсутствии информации о совокупном объеме сделок по количеству ценных бумаг используется информация о совокупном объеме сделок в денежном выражении. При равенстве совокупных объемов сделок на различных российских биржах основным рынком считается российская биржа с наибольшим количеством сделок за последние 10 торговых дней. </w:t>
            </w:r>
          </w:p>
        </w:tc>
      </w:tr>
      <w:tr w:rsidR="001E372C" w:rsidRPr="00BE536E" w14:paraId="2D5BFED8" w14:textId="77777777" w:rsidTr="00567222">
        <w:trPr>
          <w:trHeight w:val="556"/>
        </w:trPr>
        <w:tc>
          <w:tcPr>
            <w:tcW w:w="1718" w:type="pct"/>
          </w:tcPr>
          <w:p w14:paraId="3383636B" w14:textId="77777777" w:rsidR="001E372C" w:rsidRPr="00BE536E" w:rsidRDefault="001E372C" w:rsidP="00C819D7">
            <w:pPr>
              <w:rPr>
                <w:rFonts w:ascii="Verdana" w:hAnsi="Verdana"/>
                <w:b/>
                <w:sz w:val="18"/>
                <w:szCs w:val="20"/>
              </w:rPr>
            </w:pPr>
            <w:r w:rsidRPr="00BE536E">
              <w:rPr>
                <w:rFonts w:ascii="Verdana" w:hAnsi="Verdana"/>
                <w:b/>
                <w:sz w:val="18"/>
                <w:szCs w:val="20"/>
              </w:rPr>
              <w:t>Ценные бумаги российских эмитентов, номинированные в иностранной валюте (за исключением  облигаций внешних облигационных займов Российской Федерации, долговых ценных бумаг иностранных государств и еврооблигаций иностранных эмитентов)</w:t>
            </w:r>
          </w:p>
          <w:p w14:paraId="5289DA3C" w14:textId="77777777" w:rsidR="001E372C" w:rsidRPr="00BE536E" w:rsidRDefault="001E372C" w:rsidP="00C819D7">
            <w:pPr>
              <w:jc w:val="both"/>
              <w:rPr>
                <w:rFonts w:ascii="Verdana" w:hAnsi="Verdana"/>
                <w:b/>
                <w:sz w:val="18"/>
              </w:rPr>
            </w:pPr>
          </w:p>
        </w:tc>
        <w:tc>
          <w:tcPr>
            <w:tcW w:w="3282" w:type="pct"/>
          </w:tcPr>
          <w:p w14:paraId="0D860BE3" w14:textId="77777777" w:rsidR="001E372C" w:rsidRPr="00BE536E" w:rsidRDefault="001E372C" w:rsidP="00C819D7">
            <w:pPr>
              <w:pStyle w:val="af1"/>
              <w:spacing w:after="167"/>
              <w:rPr>
                <w:rFonts w:ascii="Verdana" w:hAnsi="Verdana"/>
                <w:sz w:val="20"/>
                <w:szCs w:val="20"/>
              </w:rPr>
            </w:pPr>
            <w:r w:rsidRPr="00BE536E">
              <w:rPr>
                <w:rFonts w:ascii="Verdana" w:hAnsi="Verdana"/>
                <w:sz w:val="20"/>
                <w:szCs w:val="20"/>
              </w:rPr>
              <w:t>Иностранная биржа или российская биржа из числа активных рынков, по которой определен наибольший общий объем сделок по количеству ценных бумаг за последние 10 торговых дней.</w:t>
            </w:r>
          </w:p>
          <w:p w14:paraId="6A82C001" w14:textId="77777777" w:rsidR="001E372C" w:rsidRPr="00BE536E" w:rsidRDefault="001E372C" w:rsidP="00C819D7">
            <w:pPr>
              <w:pStyle w:val="af1"/>
              <w:spacing w:after="167"/>
              <w:rPr>
                <w:rFonts w:ascii="Verdana" w:hAnsi="Verdana"/>
                <w:sz w:val="20"/>
                <w:szCs w:val="20"/>
              </w:rPr>
            </w:pPr>
            <w:r w:rsidRPr="00BE536E">
              <w:rPr>
                <w:rFonts w:ascii="Verdana" w:hAnsi="Verdana"/>
                <w:sz w:val="20"/>
                <w:szCs w:val="20"/>
              </w:rPr>
              <w:t xml:space="preserve">При отсутствии информации об объеме сделок по количеству ценных бумаг используется информация об объеме сделок в денежном выражении за последние 10 торговых дней. </w:t>
            </w:r>
          </w:p>
          <w:p w14:paraId="350CDD93" w14:textId="77777777" w:rsidR="001E372C" w:rsidRPr="00BE536E" w:rsidRDefault="001E372C" w:rsidP="00C819D7">
            <w:pPr>
              <w:pStyle w:val="af1"/>
              <w:spacing w:after="167"/>
              <w:rPr>
                <w:rFonts w:ascii="Verdana" w:hAnsi="Verdana"/>
                <w:sz w:val="20"/>
                <w:szCs w:val="20"/>
              </w:rPr>
            </w:pPr>
            <w:r w:rsidRPr="00BE536E">
              <w:rPr>
                <w:rFonts w:ascii="Verdana" w:hAnsi="Verdana"/>
                <w:sz w:val="20"/>
                <w:szCs w:val="20"/>
              </w:rPr>
              <w:t xml:space="preserve">При этом величины объема сделок в валюте котировки переводятся в рубли по курсу Банка России на дату определения СЧА. При равенстве объема сделок на различных торговых площадках основным рынком считается торговая площадка с наибольшим количеством сделок за последние 10 торговых дней. </w:t>
            </w:r>
          </w:p>
          <w:p w14:paraId="499D29DE" w14:textId="77777777" w:rsidR="001E372C" w:rsidRPr="00BE536E" w:rsidRDefault="001E372C" w:rsidP="00C819D7">
            <w:pPr>
              <w:jc w:val="both"/>
              <w:rPr>
                <w:rFonts w:ascii="Verdana" w:hAnsi="Verdana"/>
              </w:rPr>
            </w:pPr>
          </w:p>
        </w:tc>
      </w:tr>
      <w:tr w:rsidR="001E372C" w:rsidRPr="00BE536E" w14:paraId="0B3E8879" w14:textId="77777777" w:rsidTr="00567222">
        <w:trPr>
          <w:trHeight w:val="1837"/>
        </w:trPr>
        <w:tc>
          <w:tcPr>
            <w:tcW w:w="1718" w:type="pct"/>
          </w:tcPr>
          <w:p w14:paraId="3D4C6C1A" w14:textId="77777777" w:rsidR="001E372C" w:rsidRPr="00BE536E" w:rsidRDefault="001E372C" w:rsidP="00A574FA">
            <w:pPr>
              <w:rPr>
                <w:rFonts w:ascii="Verdana" w:hAnsi="Verdana"/>
                <w:b/>
                <w:sz w:val="18"/>
                <w:szCs w:val="20"/>
              </w:rPr>
            </w:pPr>
            <w:r w:rsidRPr="00BE536E">
              <w:rPr>
                <w:rFonts w:ascii="Verdana" w:hAnsi="Verdana"/>
                <w:b/>
                <w:sz w:val="18"/>
                <w:szCs w:val="20"/>
              </w:rPr>
              <w:t>Облигации внешних облигационных займов Российской Федерации</w:t>
            </w:r>
          </w:p>
        </w:tc>
        <w:tc>
          <w:tcPr>
            <w:tcW w:w="3282" w:type="pct"/>
          </w:tcPr>
          <w:p w14:paraId="37DBEDCC" w14:textId="77777777" w:rsidR="001E372C" w:rsidRPr="00BE536E" w:rsidRDefault="001E372C" w:rsidP="00C819D7">
            <w:pPr>
              <w:jc w:val="both"/>
              <w:rPr>
                <w:rFonts w:ascii="Verdana" w:hAnsi="Verdana"/>
              </w:rPr>
            </w:pPr>
            <w:r w:rsidRPr="00BE536E">
              <w:rPr>
                <w:rFonts w:ascii="Verdana" w:hAnsi="Verdana"/>
              </w:rPr>
              <w:t>Внебиржевой рынок</w:t>
            </w:r>
          </w:p>
        </w:tc>
      </w:tr>
    </w:tbl>
    <w:p w14:paraId="790649DE" w14:textId="77777777" w:rsidR="001E372C" w:rsidRPr="00BE536E" w:rsidRDefault="001E372C" w:rsidP="00D5444D">
      <w:pPr>
        <w:spacing w:before="120" w:after="120"/>
        <w:rPr>
          <w:rFonts w:ascii="Verdana" w:hAnsi="Verdana"/>
        </w:rPr>
      </w:pPr>
    </w:p>
    <w:p w14:paraId="0D44286F" w14:textId="3F60DF57" w:rsidR="00C40786" w:rsidRDefault="00C40786" w:rsidP="00217C22">
      <w:pPr>
        <w:spacing w:line="360" w:lineRule="auto"/>
        <w:jc w:val="both"/>
        <w:rPr>
          <w:rFonts w:ascii="Verdana" w:eastAsia="Times New Roman" w:hAnsi="Verdana" w:cs="Arial"/>
          <w:b/>
          <w:bCs/>
          <w:iCs/>
          <w:caps/>
          <w:color w:val="943634"/>
          <w:sz w:val="24"/>
          <w:szCs w:val="24"/>
          <w:lang w:eastAsia="ru-RU"/>
        </w:rPr>
      </w:pPr>
      <w:r w:rsidRPr="00BE536E">
        <w:rPr>
          <w:rFonts w:ascii="Verdana" w:eastAsia="Times New Roman" w:hAnsi="Verdana" w:cs="Arial"/>
          <w:b/>
          <w:bCs/>
          <w:iCs/>
          <w:caps/>
          <w:color w:val="943634"/>
          <w:sz w:val="24"/>
          <w:szCs w:val="24"/>
          <w:lang w:eastAsia="ru-RU"/>
        </w:rPr>
        <w:t>Модели оценки стоимости ценных бумаг</w:t>
      </w:r>
    </w:p>
    <w:p w14:paraId="216FA908" w14:textId="77777777" w:rsidR="00217C22" w:rsidRPr="00606D97" w:rsidRDefault="00217C22" w:rsidP="00217C22">
      <w:pPr>
        <w:pStyle w:val="ac"/>
        <w:spacing w:line="360" w:lineRule="auto"/>
        <w:ind w:left="0"/>
        <w:jc w:val="both"/>
        <w:rPr>
          <w:rFonts w:ascii="Verdana" w:eastAsia="Times New Roman" w:hAnsi="Verdana" w:cs="Arial"/>
          <w:b/>
          <w:bCs/>
          <w:iCs/>
          <w:lang w:eastAsia="ru-RU"/>
        </w:rPr>
      </w:pPr>
      <w:r w:rsidRPr="00606D97">
        <w:rPr>
          <w:rFonts w:ascii="Verdana" w:hAnsi="Verdana"/>
        </w:rPr>
        <w:t xml:space="preserve">Для оценки справедливой стоимости ценных бумаг используются </w:t>
      </w:r>
      <w:r w:rsidRPr="00606D97">
        <w:rPr>
          <w:rFonts w:ascii="Verdana" w:eastAsia="Times New Roman" w:hAnsi="Verdana" w:cs="Arial"/>
          <w:bCs/>
          <w:iCs/>
          <w:lang w:eastAsia="ru-RU"/>
        </w:rPr>
        <w:t xml:space="preserve">модели оценки стоимости ценных бумаг, для которых </w:t>
      </w:r>
      <w:r w:rsidRPr="00606D97">
        <w:rPr>
          <w:rFonts w:ascii="Verdana" w:eastAsia="Times New Roman" w:hAnsi="Verdana" w:cs="Arial"/>
          <w:b/>
          <w:bCs/>
          <w:iCs/>
          <w:lang w:eastAsia="ru-RU"/>
        </w:rPr>
        <w:t>определен активный рынок</w:t>
      </w:r>
      <w:r w:rsidRPr="00606D97">
        <w:rPr>
          <w:rFonts w:ascii="Verdana" w:eastAsia="Times New Roman" w:hAnsi="Verdana" w:cs="Arial"/>
          <w:bCs/>
          <w:iCs/>
          <w:lang w:eastAsia="ru-RU"/>
        </w:rPr>
        <w:t xml:space="preserve">, </w:t>
      </w:r>
      <w:r w:rsidRPr="00606D97">
        <w:rPr>
          <w:rFonts w:ascii="Verdana" w:hAnsi="Verdana"/>
        </w:rPr>
        <w:t xml:space="preserve">и </w:t>
      </w:r>
      <w:r w:rsidRPr="00606D97">
        <w:rPr>
          <w:rFonts w:ascii="Verdana" w:eastAsia="Times New Roman" w:hAnsi="Verdana" w:cs="Arial"/>
          <w:bCs/>
          <w:iCs/>
          <w:lang w:eastAsia="ru-RU"/>
        </w:rPr>
        <w:t xml:space="preserve">модели оценки стоимости ценных бумаг, для которых </w:t>
      </w:r>
      <w:r w:rsidRPr="00606D97">
        <w:rPr>
          <w:rFonts w:ascii="Verdana" w:eastAsia="Times New Roman" w:hAnsi="Verdana" w:cs="Arial"/>
          <w:b/>
          <w:bCs/>
          <w:iCs/>
          <w:lang w:eastAsia="ru-RU"/>
        </w:rPr>
        <w:t>не определен активный рынок</w:t>
      </w:r>
      <w:r w:rsidRPr="00606D97">
        <w:rPr>
          <w:rFonts w:ascii="Verdana" w:eastAsia="Times New Roman" w:hAnsi="Verdana" w:cs="Arial"/>
          <w:bCs/>
          <w:iCs/>
          <w:lang w:eastAsia="ru-RU"/>
        </w:rPr>
        <w:t xml:space="preserve">, а так же модели оценки, по которым </w:t>
      </w:r>
      <w:r w:rsidRPr="00606D97">
        <w:rPr>
          <w:rFonts w:ascii="Verdana" w:eastAsia="Times New Roman" w:hAnsi="Verdana" w:cs="Arial"/>
          <w:b/>
          <w:bCs/>
          <w:iCs/>
          <w:lang w:eastAsia="ru-RU"/>
        </w:rPr>
        <w:t>определен аналогичный актив.</w:t>
      </w:r>
    </w:p>
    <w:p w14:paraId="53B45D24" w14:textId="77777777" w:rsidR="00217C22" w:rsidRPr="00606D97" w:rsidRDefault="00217C22" w:rsidP="00217C22">
      <w:pPr>
        <w:spacing w:before="240" w:after="240" w:line="360" w:lineRule="auto"/>
        <w:jc w:val="both"/>
        <w:rPr>
          <w:rFonts w:ascii="Verdana" w:eastAsia="Times New Roman" w:hAnsi="Verdana" w:cs="Arial"/>
          <w:b/>
          <w:bCs/>
          <w:iCs/>
          <w:caps/>
          <w:color w:val="943634"/>
          <w:sz w:val="24"/>
          <w:szCs w:val="24"/>
          <w:lang w:eastAsia="ru-RU"/>
        </w:rPr>
      </w:pPr>
      <w:r w:rsidRPr="00606D97">
        <w:rPr>
          <w:rFonts w:ascii="Verdana" w:eastAsia="Times New Roman" w:hAnsi="Verdana" w:cs="Arial"/>
          <w:b/>
          <w:bCs/>
          <w:iCs/>
          <w:caps/>
          <w:color w:val="943634"/>
          <w:sz w:val="24"/>
          <w:szCs w:val="24"/>
          <w:lang w:eastAsia="ru-RU"/>
        </w:rPr>
        <w:t>Модели оценки стоимости ценных бумаг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10113"/>
      </w:tblGrid>
      <w:tr w:rsidR="00217C22" w:rsidRPr="00606D97" w14:paraId="69591EE7" w14:textId="77777777" w:rsidTr="00B5414D">
        <w:trPr>
          <w:trHeight w:val="529"/>
        </w:trPr>
        <w:tc>
          <w:tcPr>
            <w:tcW w:w="13289" w:type="dxa"/>
            <w:gridSpan w:val="2"/>
            <w:tcBorders>
              <w:top w:val="nil"/>
              <w:left w:val="nil"/>
              <w:bottom w:val="single" w:sz="4" w:space="0" w:color="auto"/>
              <w:right w:val="nil"/>
            </w:tcBorders>
            <w:shd w:val="clear" w:color="auto" w:fill="auto"/>
          </w:tcPr>
          <w:p w14:paraId="4966019F" w14:textId="77777777" w:rsidR="00217C22" w:rsidRPr="00606D97" w:rsidRDefault="00217C22" w:rsidP="00B5414D">
            <w:pPr>
              <w:spacing w:before="240" w:after="240" w:line="240" w:lineRule="auto"/>
              <w:rPr>
                <w:rFonts w:ascii="Verdana" w:hAnsi="Verdana"/>
                <w:sz w:val="20"/>
                <w:szCs w:val="20"/>
              </w:rPr>
            </w:pPr>
            <w:r w:rsidRPr="00606D97">
              <w:rPr>
                <w:rFonts w:ascii="Verdana" w:hAnsi="Verdana"/>
                <w:bCs/>
                <w:iCs/>
                <w:color w:val="943634"/>
                <w:szCs w:val="20"/>
              </w:rPr>
              <w:t xml:space="preserve">Модели оценки стоимости ценных бумаг, для которых определяется </w:t>
            </w:r>
            <w:r w:rsidRPr="00606D97">
              <w:rPr>
                <w:rFonts w:ascii="Verdana" w:hAnsi="Verdana"/>
                <w:b/>
                <w:bCs/>
                <w:iCs/>
                <w:color w:val="943634"/>
                <w:szCs w:val="20"/>
              </w:rPr>
              <w:t>активный биржевой рынок</w:t>
            </w:r>
            <w:r w:rsidRPr="00606D97">
              <w:rPr>
                <w:rFonts w:ascii="Verdana" w:hAnsi="Verdana"/>
                <w:bCs/>
                <w:iCs/>
                <w:color w:val="943634"/>
                <w:szCs w:val="20"/>
              </w:rPr>
              <w:t xml:space="preserve"> (</w:t>
            </w:r>
            <w:r w:rsidRPr="00606D97">
              <w:rPr>
                <w:rFonts w:ascii="Verdana" w:hAnsi="Verdana"/>
                <w:b/>
                <w:bCs/>
                <w:iCs/>
                <w:color w:val="943634"/>
                <w:szCs w:val="20"/>
              </w:rPr>
              <w:t>1-й уровень</w:t>
            </w:r>
            <w:r w:rsidRPr="00606D97">
              <w:rPr>
                <w:rFonts w:ascii="Verdana" w:hAnsi="Verdana"/>
                <w:bCs/>
                <w:iCs/>
                <w:color w:val="943634"/>
                <w:szCs w:val="20"/>
              </w:rPr>
              <w:t>)</w:t>
            </w:r>
          </w:p>
        </w:tc>
      </w:tr>
      <w:tr w:rsidR="00217C22" w:rsidRPr="00606D97" w14:paraId="67E9A78E" w14:textId="77777777" w:rsidTr="00B5414D">
        <w:tc>
          <w:tcPr>
            <w:tcW w:w="3176" w:type="dxa"/>
            <w:tcBorders>
              <w:top w:val="single" w:sz="4" w:space="0" w:color="auto"/>
            </w:tcBorders>
            <w:shd w:val="clear" w:color="auto" w:fill="A6A6A6"/>
          </w:tcPr>
          <w:p w14:paraId="1B038493"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Ценные бумаги</w:t>
            </w:r>
          </w:p>
        </w:tc>
        <w:tc>
          <w:tcPr>
            <w:tcW w:w="10113" w:type="dxa"/>
            <w:tcBorders>
              <w:top w:val="single" w:sz="4" w:space="0" w:color="auto"/>
            </w:tcBorders>
            <w:shd w:val="clear" w:color="auto" w:fill="A6A6A6"/>
          </w:tcPr>
          <w:p w14:paraId="7101AA28"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14:paraId="6F76E9C1" w14:textId="77777777" w:rsidTr="00B5414D">
        <w:tc>
          <w:tcPr>
            <w:tcW w:w="3176" w:type="dxa"/>
            <w:shd w:val="clear" w:color="auto" w:fill="auto"/>
          </w:tcPr>
          <w:p w14:paraId="09CDE980" w14:textId="77777777" w:rsidR="00217C22" w:rsidRPr="00606D97" w:rsidRDefault="00217C22" w:rsidP="00B5414D">
            <w:pPr>
              <w:pStyle w:val="ac"/>
              <w:ind w:left="0"/>
              <w:jc w:val="both"/>
              <w:rPr>
                <w:lang w:eastAsia="ru-RU"/>
              </w:rPr>
            </w:pPr>
            <w:r w:rsidRPr="00606D97">
              <w:rPr>
                <w:b/>
                <w:sz w:val="24"/>
                <w:szCs w:val="24"/>
              </w:rPr>
              <w:t>Ценные бумаги российских эмитентов* (за исключением еврооблигаций), а так же иные ценные бумаги, номинированные в рублях</w:t>
            </w:r>
            <w:r w:rsidRPr="00606D97">
              <w:rPr>
                <w:lang w:eastAsia="ru-RU"/>
              </w:rPr>
              <w:t xml:space="preserve"> </w:t>
            </w:r>
          </w:p>
          <w:p w14:paraId="3B839117" w14:textId="77777777" w:rsidR="00217C22" w:rsidRPr="00606D97" w:rsidRDefault="00217C22" w:rsidP="00B5414D">
            <w:pPr>
              <w:pStyle w:val="ac"/>
              <w:spacing w:after="0" w:line="240" w:lineRule="auto"/>
              <w:ind w:left="0"/>
              <w:rPr>
                <w:rFonts w:ascii="Verdana" w:hAnsi="Verdana"/>
                <w:sz w:val="20"/>
                <w:szCs w:val="20"/>
              </w:rPr>
            </w:pPr>
            <w:r w:rsidRPr="00606D97">
              <w:rPr>
                <w:lang w:eastAsia="ru-RU"/>
              </w:rPr>
              <w:t xml:space="preserve">* в том числе инвестиционные паи российских паевых инвестиционных фондов, ипотечные сертификаты участия </w:t>
            </w:r>
          </w:p>
        </w:tc>
        <w:tc>
          <w:tcPr>
            <w:tcW w:w="10113" w:type="dxa"/>
            <w:shd w:val="clear" w:color="auto" w:fill="auto"/>
            <w:vAlign w:val="center"/>
          </w:tcPr>
          <w:p w14:paraId="41620509"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val="en-US" w:eastAsia="ru-RU"/>
              </w:rPr>
              <w:t>I</w:t>
            </w:r>
            <w:r w:rsidRPr="00606D97">
              <w:rPr>
                <w:color w:val="000000" w:themeColor="text1"/>
                <w:sz w:val="24"/>
                <w:szCs w:val="24"/>
                <w:lang w:eastAsia="ru-RU"/>
              </w:rPr>
              <w:t>. Для определения справедливой стоимости используются цены основного рынка на дату определения СЧА, выбранные в порядке убывания приоритета:</w:t>
            </w:r>
          </w:p>
          <w:p w14:paraId="6867F066" w14:textId="77777777" w:rsidR="00217C22" w:rsidRPr="00606D97" w:rsidRDefault="00217C22" w:rsidP="00B5414D">
            <w:pPr>
              <w:numPr>
                <w:ilvl w:val="0"/>
                <w:numId w:val="3"/>
              </w:numPr>
              <w:suppressAutoHyphens/>
              <w:autoSpaceDE w:val="0"/>
              <w:autoSpaceDN w:val="0"/>
              <w:adjustRightInd w:val="0"/>
              <w:spacing w:after="0" w:line="240" w:lineRule="auto"/>
              <w:ind w:left="0" w:firstLine="0"/>
              <w:jc w:val="both"/>
              <w:rPr>
                <w:iCs/>
                <w:color w:val="000000" w:themeColor="text1"/>
                <w:sz w:val="24"/>
                <w:szCs w:val="24"/>
                <w:lang w:eastAsia="ru-RU"/>
              </w:rPr>
            </w:pPr>
            <w:r w:rsidRPr="00606D97">
              <w:rPr>
                <w:iCs/>
                <w:color w:val="000000" w:themeColor="text1"/>
                <w:sz w:val="24"/>
                <w:szCs w:val="24"/>
                <w:lang w:eastAsia="ru-RU"/>
              </w:rPr>
              <w:t>цена спроса (</w:t>
            </w:r>
            <w:r w:rsidRPr="00606D97">
              <w:rPr>
                <w:iCs/>
                <w:color w:val="000000" w:themeColor="text1"/>
                <w:sz w:val="24"/>
                <w:szCs w:val="24"/>
                <w:lang w:val="en-US" w:eastAsia="ru-RU"/>
              </w:rPr>
              <w:t>BID</w:t>
            </w:r>
            <w:r w:rsidRPr="00606D97">
              <w:rPr>
                <w:iCs/>
                <w:color w:val="000000" w:themeColor="text1"/>
                <w:sz w:val="24"/>
                <w:szCs w:val="24"/>
                <w:lang w:eastAsia="ru-RU"/>
              </w:rPr>
              <w:t>) на момент окончания торгового дня при условии, что</w:t>
            </w:r>
            <w:r w:rsidRPr="00606D97">
              <w:rPr>
                <w:color w:val="000000" w:themeColor="text1"/>
                <w:sz w:val="24"/>
                <w:szCs w:val="24"/>
                <w:lang w:eastAsia="ru-RU"/>
              </w:rPr>
              <w:t xml:space="preserve"> она находится в интервале между минимальной (</w:t>
            </w:r>
            <w:r w:rsidRPr="00606D97">
              <w:rPr>
                <w:color w:val="000000" w:themeColor="text1"/>
                <w:sz w:val="24"/>
                <w:szCs w:val="24"/>
                <w:lang w:val="en-US" w:eastAsia="ru-RU"/>
              </w:rPr>
              <w:t>LOW</w:t>
            </w:r>
            <w:r w:rsidRPr="00606D97">
              <w:rPr>
                <w:color w:val="000000" w:themeColor="text1"/>
                <w:sz w:val="24"/>
                <w:szCs w:val="24"/>
                <w:lang w:eastAsia="ru-RU"/>
              </w:rPr>
              <w:t>) и максимальной (</w:t>
            </w:r>
            <w:r w:rsidRPr="00606D97">
              <w:rPr>
                <w:color w:val="000000" w:themeColor="text1"/>
                <w:sz w:val="24"/>
                <w:szCs w:val="24"/>
                <w:lang w:val="en-US" w:eastAsia="ru-RU"/>
              </w:rPr>
              <w:t>HIGH</w:t>
            </w:r>
            <w:r w:rsidRPr="00606D97">
              <w:rPr>
                <w:color w:val="000000" w:themeColor="text1"/>
                <w:sz w:val="24"/>
                <w:szCs w:val="24"/>
                <w:lang w:eastAsia="ru-RU"/>
              </w:rPr>
              <w:t xml:space="preserve">) ценами сделок на указанную дату, включая границы интервала;                                                                                                                                                                      </w:t>
            </w:r>
          </w:p>
          <w:p w14:paraId="767E79DA" w14:textId="77777777" w:rsidR="00217C22" w:rsidRPr="00606D97" w:rsidRDefault="00217C22" w:rsidP="00B5414D">
            <w:pPr>
              <w:numPr>
                <w:ilvl w:val="0"/>
                <w:numId w:val="3"/>
              </w:numPr>
              <w:suppressAutoHyphens/>
              <w:autoSpaceDE w:val="0"/>
              <w:autoSpaceDN w:val="0"/>
              <w:adjustRightInd w:val="0"/>
              <w:spacing w:after="0" w:line="240" w:lineRule="auto"/>
              <w:ind w:left="0" w:firstLine="0"/>
              <w:jc w:val="both"/>
              <w:rPr>
                <w:iCs/>
                <w:color w:val="000000" w:themeColor="text1"/>
                <w:sz w:val="24"/>
                <w:szCs w:val="24"/>
                <w:lang w:eastAsia="ru-RU"/>
              </w:rPr>
            </w:pPr>
            <w:r w:rsidRPr="00606D97">
              <w:rPr>
                <w:color w:val="000000" w:themeColor="text1"/>
                <w:sz w:val="24"/>
                <w:szCs w:val="24"/>
              </w:rPr>
              <w:t>средневзвешенная цена (</w:t>
            </w:r>
            <w:r w:rsidRPr="00606D97">
              <w:rPr>
                <w:color w:val="000000" w:themeColor="text1"/>
                <w:sz w:val="24"/>
                <w:szCs w:val="24"/>
                <w:lang w:val="en-US"/>
              </w:rPr>
              <w:t>WAPRICE</w:t>
            </w:r>
            <w:r w:rsidRPr="00606D97">
              <w:rPr>
                <w:color w:val="000000" w:themeColor="text1"/>
                <w:sz w:val="24"/>
                <w:szCs w:val="24"/>
              </w:rPr>
              <w:t>) на момент окончания торгового дня при условии, что она находится в пределах спреда по спросу (</w:t>
            </w:r>
            <w:r w:rsidRPr="00606D97">
              <w:rPr>
                <w:color w:val="000000" w:themeColor="text1"/>
                <w:sz w:val="24"/>
                <w:szCs w:val="24"/>
                <w:lang w:val="en-US"/>
              </w:rPr>
              <w:t>BID</w:t>
            </w:r>
            <w:r w:rsidRPr="00606D97">
              <w:rPr>
                <w:color w:val="000000" w:themeColor="text1"/>
                <w:sz w:val="24"/>
                <w:szCs w:val="24"/>
              </w:rPr>
              <w:t xml:space="preserve">) и предложению </w:t>
            </w:r>
            <w:r w:rsidRPr="00606D97">
              <w:rPr>
                <w:color w:val="000000" w:themeColor="text1"/>
                <w:sz w:val="24"/>
                <w:szCs w:val="24"/>
                <w:lang w:val="en-US"/>
              </w:rPr>
              <w:t>(ASK)</w:t>
            </w:r>
            <w:r w:rsidRPr="00606D97">
              <w:rPr>
                <w:color w:val="000000" w:themeColor="text1"/>
                <w:sz w:val="24"/>
                <w:szCs w:val="24"/>
              </w:rPr>
              <w:t xml:space="preserve"> на указанную дату, включая границы интервала</w:t>
            </w:r>
            <w:r w:rsidRPr="00606D97">
              <w:rPr>
                <w:iCs/>
                <w:color w:val="000000" w:themeColor="text1"/>
                <w:sz w:val="24"/>
                <w:szCs w:val="24"/>
                <w:lang w:eastAsia="ru-RU"/>
              </w:rPr>
              <w:t>;</w:t>
            </w:r>
          </w:p>
          <w:p w14:paraId="6D15A99D" w14:textId="77777777" w:rsidR="00217C22" w:rsidRPr="00606D97" w:rsidRDefault="00217C22" w:rsidP="00B5414D">
            <w:pPr>
              <w:numPr>
                <w:ilvl w:val="0"/>
                <w:numId w:val="3"/>
              </w:numPr>
              <w:suppressAutoHyphens/>
              <w:autoSpaceDE w:val="0"/>
              <w:autoSpaceDN w:val="0"/>
              <w:adjustRightInd w:val="0"/>
              <w:spacing w:after="0" w:line="240" w:lineRule="auto"/>
              <w:ind w:left="0" w:firstLine="0"/>
              <w:jc w:val="both"/>
              <w:rPr>
                <w:color w:val="000000" w:themeColor="text1"/>
                <w:sz w:val="24"/>
                <w:szCs w:val="24"/>
                <w:lang w:eastAsia="ru-RU"/>
              </w:rPr>
            </w:pPr>
            <w:r w:rsidRPr="00606D97">
              <w:rPr>
                <w:color w:val="000000" w:themeColor="text1"/>
                <w:sz w:val="24"/>
                <w:szCs w:val="24"/>
              </w:rPr>
              <w:t>цена закрытия (</w:t>
            </w:r>
            <w:r w:rsidRPr="00606D97">
              <w:rPr>
                <w:color w:val="000000" w:themeColor="text1"/>
                <w:sz w:val="24"/>
                <w:szCs w:val="24"/>
                <w:lang w:val="en-US"/>
              </w:rPr>
              <w:t>LEGALCLOSEPRICE</w:t>
            </w:r>
            <w:r w:rsidRPr="00606D97">
              <w:rPr>
                <w:color w:val="000000" w:themeColor="text1"/>
                <w:sz w:val="24"/>
                <w:szCs w:val="24"/>
              </w:rPr>
              <w:t>) на момент окончания торгового дня при условии, что раскрыты данные об объеме торгов за день (</w:t>
            </w:r>
            <w:r w:rsidRPr="00606D97">
              <w:rPr>
                <w:color w:val="000000" w:themeColor="text1"/>
                <w:sz w:val="24"/>
                <w:szCs w:val="24"/>
                <w:lang w:val="en-US"/>
              </w:rPr>
              <w:t>VALUE</w:t>
            </w:r>
            <w:r w:rsidRPr="00606D97">
              <w:rPr>
                <w:color w:val="000000" w:themeColor="text1"/>
                <w:sz w:val="24"/>
                <w:szCs w:val="24"/>
              </w:rPr>
              <w:t>) и он не равен нулю</w:t>
            </w:r>
            <w:r w:rsidRPr="00606D97">
              <w:rPr>
                <w:iCs/>
                <w:color w:val="000000" w:themeColor="text1"/>
                <w:sz w:val="24"/>
                <w:szCs w:val="24"/>
                <w:lang w:eastAsia="ru-RU"/>
              </w:rPr>
              <w:t>.</w:t>
            </w:r>
          </w:p>
          <w:p w14:paraId="7318CAF7" w14:textId="77777777" w:rsidR="00217C22" w:rsidRPr="00606D97" w:rsidRDefault="00217C22" w:rsidP="00B5414D">
            <w:pPr>
              <w:autoSpaceDN w:val="0"/>
              <w:adjustRightInd w:val="0"/>
              <w:jc w:val="both"/>
              <w:rPr>
                <w:color w:val="000000" w:themeColor="text1"/>
                <w:sz w:val="24"/>
                <w:szCs w:val="24"/>
              </w:rPr>
            </w:pPr>
          </w:p>
          <w:p w14:paraId="192F6B55" w14:textId="77777777" w:rsidR="00217C22" w:rsidRPr="00606D97" w:rsidRDefault="00217C22" w:rsidP="00B5414D">
            <w:pPr>
              <w:autoSpaceDN w:val="0"/>
              <w:adjustRightInd w:val="0"/>
              <w:jc w:val="both"/>
              <w:rPr>
                <w:color w:val="000000" w:themeColor="text1"/>
                <w:sz w:val="24"/>
                <w:szCs w:val="24"/>
              </w:rPr>
            </w:pPr>
            <w:r w:rsidRPr="00606D97">
              <w:rPr>
                <w:color w:val="000000" w:themeColor="text1"/>
                <w:sz w:val="24"/>
                <w:szCs w:val="24"/>
                <w:lang w:val="en-US"/>
              </w:rPr>
              <w:lastRenderedPageBreak/>
              <w:t>II</w:t>
            </w:r>
            <w:r w:rsidRPr="00606D97">
              <w:rPr>
                <w:color w:val="000000" w:themeColor="text1"/>
                <w:sz w:val="24"/>
                <w:szCs w:val="24"/>
              </w:rPr>
              <w:t>. Если на дату определения СЧА</w:t>
            </w:r>
            <w:r w:rsidRPr="00606D97" w:rsidDel="00FE7717">
              <w:rPr>
                <w:color w:val="000000" w:themeColor="text1"/>
                <w:sz w:val="24"/>
                <w:szCs w:val="24"/>
              </w:rPr>
              <w:t xml:space="preserve"> </w:t>
            </w:r>
            <w:r w:rsidRPr="00606D97">
              <w:rPr>
                <w:color w:val="000000" w:themeColor="text1"/>
                <w:sz w:val="24"/>
                <w:szCs w:val="24"/>
              </w:rPr>
              <w:t>отсутствуют цены основного рынка, допустимо использовать цены наиболее выгодного рынка на эту дату, выбранной в порядке, предусмотренном для выбора цены основного рынка</w:t>
            </w:r>
          </w:p>
          <w:p w14:paraId="4B354A42" w14:textId="77777777" w:rsidR="00217C22" w:rsidRPr="00606D97" w:rsidRDefault="00217C22" w:rsidP="00B5414D">
            <w:pPr>
              <w:pStyle w:val="ac"/>
              <w:spacing w:before="120" w:after="120"/>
              <w:ind w:left="0"/>
              <w:contextualSpacing w:val="0"/>
              <w:jc w:val="both"/>
              <w:rPr>
                <w:color w:val="000000" w:themeColor="text1"/>
                <w:sz w:val="24"/>
                <w:szCs w:val="24"/>
              </w:rPr>
            </w:pPr>
            <w:r w:rsidRPr="00606D97">
              <w:rPr>
                <w:color w:val="000000" w:themeColor="text1"/>
                <w:sz w:val="24"/>
                <w:szCs w:val="24"/>
                <w:lang w:val="en-US"/>
              </w:rPr>
              <w:t>III</w:t>
            </w:r>
            <w:r w:rsidRPr="00606D97">
              <w:rPr>
                <w:color w:val="000000" w:themeColor="text1"/>
                <w:sz w:val="24"/>
                <w:szCs w:val="24"/>
              </w:rPr>
              <w:t>. Справедливая стоимость долговой ценной бумаги определяется с учетом накопленного купонного дохода на дату определения СЧА.</w:t>
            </w:r>
          </w:p>
          <w:p w14:paraId="566EB086" w14:textId="77777777" w:rsidR="00217C22" w:rsidRPr="00606D97" w:rsidRDefault="00217C22" w:rsidP="00B5414D">
            <w:pPr>
              <w:pStyle w:val="ac"/>
              <w:spacing w:before="120" w:after="120" w:line="240" w:lineRule="auto"/>
              <w:ind w:left="0"/>
              <w:contextualSpacing w:val="0"/>
              <w:jc w:val="both"/>
              <w:rPr>
                <w:rFonts w:ascii="Verdana" w:hAnsi="Verdana"/>
                <w:sz w:val="20"/>
                <w:szCs w:val="20"/>
              </w:rPr>
            </w:pPr>
          </w:p>
        </w:tc>
      </w:tr>
      <w:tr w:rsidR="00217C22" w:rsidRPr="00606D97" w14:paraId="1BA67152" w14:textId="77777777" w:rsidTr="00B5414D">
        <w:tc>
          <w:tcPr>
            <w:tcW w:w="3176" w:type="dxa"/>
            <w:shd w:val="clear" w:color="auto" w:fill="auto"/>
          </w:tcPr>
          <w:p w14:paraId="3FF29297" w14:textId="0BD88E3F" w:rsidR="00217C22" w:rsidRPr="00606D97" w:rsidRDefault="00217C22" w:rsidP="00B5414D">
            <w:pPr>
              <w:pStyle w:val="ac"/>
              <w:spacing w:after="0" w:line="240" w:lineRule="auto"/>
              <w:ind w:left="0"/>
              <w:rPr>
                <w:rFonts w:ascii="Verdana" w:hAnsi="Verdana"/>
                <w:b/>
                <w:sz w:val="18"/>
                <w:szCs w:val="20"/>
              </w:rPr>
            </w:pPr>
            <w:r w:rsidRPr="00606D97">
              <w:rPr>
                <w:b/>
                <w:sz w:val="24"/>
                <w:szCs w:val="24"/>
              </w:rPr>
              <w:lastRenderedPageBreak/>
              <w:t>Ценные бумаги иностранных эмитентов, а так же ценные бумаги российских эмитентов, номинированные в иностранной валюте (за исключением  облигаций внешних облигационных займов Российской Федерации, долговых ценных бумаг иностранных государст</w:t>
            </w:r>
            <w:r w:rsidR="00B5414D">
              <w:rPr>
                <w:b/>
                <w:sz w:val="24"/>
                <w:szCs w:val="24"/>
              </w:rPr>
              <w:t>в</w:t>
            </w:r>
            <w:r w:rsidRPr="00606D97">
              <w:rPr>
                <w:b/>
                <w:sz w:val="24"/>
                <w:szCs w:val="24"/>
              </w:rPr>
              <w:t xml:space="preserve"> и еврооблигаций иностранных эмитентов)</w:t>
            </w:r>
          </w:p>
        </w:tc>
        <w:tc>
          <w:tcPr>
            <w:tcW w:w="10113" w:type="dxa"/>
            <w:shd w:val="clear" w:color="auto" w:fill="auto"/>
          </w:tcPr>
          <w:p w14:paraId="57EE7FE6"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val="en-US" w:eastAsia="ru-RU"/>
              </w:rPr>
              <w:t>I</w:t>
            </w:r>
            <w:r w:rsidRPr="00606D97">
              <w:rPr>
                <w:color w:val="000000" w:themeColor="text1"/>
                <w:sz w:val="24"/>
                <w:szCs w:val="24"/>
                <w:lang w:eastAsia="ru-RU"/>
              </w:rPr>
              <w:t>. Для определения справедливой стоимости используются цены основного рынка на дату определения СЧА, выбранные в порядке убывания приоритета:</w:t>
            </w:r>
          </w:p>
          <w:p w14:paraId="73AD7A9C"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eastAsia="ru-RU"/>
              </w:rPr>
              <w:t xml:space="preserve">1. </w:t>
            </w:r>
            <w:r w:rsidRPr="00606D97">
              <w:rPr>
                <w:b/>
                <w:color w:val="000000" w:themeColor="text1"/>
                <w:sz w:val="24"/>
                <w:szCs w:val="24"/>
                <w:lang w:eastAsia="ru-RU"/>
              </w:rPr>
              <w:t>Основным рынком является российская биржа</w:t>
            </w:r>
            <w:r w:rsidRPr="00606D97">
              <w:rPr>
                <w:color w:val="000000" w:themeColor="text1"/>
                <w:sz w:val="24"/>
                <w:szCs w:val="24"/>
                <w:lang w:eastAsia="ru-RU"/>
              </w:rPr>
              <w:t>:</w:t>
            </w:r>
          </w:p>
          <w:p w14:paraId="6145ADA1" w14:textId="77777777" w:rsidR="00217C22" w:rsidRPr="00606D97" w:rsidRDefault="00217C22" w:rsidP="00B5414D">
            <w:pPr>
              <w:autoSpaceDN w:val="0"/>
              <w:adjustRightInd w:val="0"/>
              <w:jc w:val="both"/>
              <w:rPr>
                <w:iCs/>
                <w:color w:val="000000" w:themeColor="text1"/>
                <w:sz w:val="24"/>
                <w:szCs w:val="24"/>
                <w:lang w:eastAsia="ru-RU"/>
              </w:rPr>
            </w:pPr>
            <w:r w:rsidRPr="00606D97">
              <w:rPr>
                <w:iCs/>
                <w:color w:val="000000" w:themeColor="text1"/>
                <w:sz w:val="24"/>
                <w:szCs w:val="24"/>
                <w:lang w:eastAsia="ru-RU"/>
              </w:rPr>
              <w:t>Порядок выбора цены аналогичен порядку, установленному для ценных бумаг российских эмитентов.</w:t>
            </w:r>
          </w:p>
          <w:p w14:paraId="4922D62D"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eastAsia="ru-RU"/>
              </w:rPr>
              <w:t xml:space="preserve">2. </w:t>
            </w:r>
            <w:r w:rsidRPr="00606D97">
              <w:rPr>
                <w:b/>
                <w:color w:val="000000" w:themeColor="text1"/>
                <w:sz w:val="24"/>
                <w:szCs w:val="24"/>
                <w:lang w:eastAsia="ru-RU"/>
              </w:rPr>
              <w:t>Основным рынком является иностранная биржа</w:t>
            </w:r>
            <w:r w:rsidRPr="00606D97">
              <w:rPr>
                <w:color w:val="000000" w:themeColor="text1"/>
                <w:sz w:val="24"/>
                <w:szCs w:val="24"/>
                <w:lang w:eastAsia="ru-RU"/>
              </w:rPr>
              <w:t>:</w:t>
            </w:r>
          </w:p>
          <w:p w14:paraId="587F4A46" w14:textId="77777777" w:rsidR="00217C22" w:rsidRPr="00606D97" w:rsidRDefault="00217C22" w:rsidP="00217C22">
            <w:pPr>
              <w:numPr>
                <w:ilvl w:val="0"/>
                <w:numId w:val="29"/>
              </w:numPr>
              <w:suppressAutoHyphens/>
              <w:autoSpaceDE w:val="0"/>
              <w:autoSpaceDN w:val="0"/>
              <w:adjustRightInd w:val="0"/>
              <w:spacing w:after="0" w:line="240" w:lineRule="auto"/>
              <w:ind w:left="0" w:firstLine="0"/>
              <w:jc w:val="both"/>
              <w:rPr>
                <w:color w:val="000000" w:themeColor="text1"/>
                <w:sz w:val="24"/>
                <w:szCs w:val="24"/>
                <w:lang w:eastAsia="ru-RU"/>
              </w:rPr>
            </w:pPr>
            <w:r w:rsidRPr="00606D97">
              <w:rPr>
                <w:iCs/>
                <w:color w:val="000000" w:themeColor="text1"/>
                <w:sz w:val="24"/>
                <w:szCs w:val="24"/>
                <w:lang w:eastAsia="ru-RU"/>
              </w:rPr>
              <w:t>цена спроса (</w:t>
            </w:r>
            <w:r w:rsidRPr="00606D97">
              <w:rPr>
                <w:iCs/>
                <w:color w:val="000000" w:themeColor="text1"/>
                <w:sz w:val="24"/>
                <w:szCs w:val="24"/>
                <w:lang w:val="en-US" w:eastAsia="ru-RU"/>
              </w:rPr>
              <w:t>BID</w:t>
            </w:r>
            <w:r w:rsidRPr="00606D97">
              <w:rPr>
                <w:iCs/>
                <w:color w:val="000000" w:themeColor="text1"/>
                <w:sz w:val="24"/>
                <w:szCs w:val="24"/>
                <w:lang w:eastAsia="ru-RU"/>
              </w:rPr>
              <w:t xml:space="preserve"> </w:t>
            </w:r>
            <w:r w:rsidRPr="00606D97">
              <w:rPr>
                <w:iCs/>
                <w:color w:val="000000" w:themeColor="text1"/>
                <w:sz w:val="24"/>
                <w:szCs w:val="24"/>
                <w:lang w:val="en-US" w:eastAsia="ru-RU"/>
              </w:rPr>
              <w:t>LAST</w:t>
            </w:r>
            <w:r w:rsidRPr="00606D97">
              <w:rPr>
                <w:iCs/>
                <w:color w:val="000000" w:themeColor="text1"/>
                <w:sz w:val="24"/>
                <w:szCs w:val="24"/>
                <w:lang w:eastAsia="ru-RU"/>
              </w:rPr>
              <w:t xml:space="preserve">) </w:t>
            </w:r>
            <w:r w:rsidRPr="00606D97">
              <w:rPr>
                <w:color w:val="000000" w:themeColor="text1"/>
                <w:sz w:val="24"/>
                <w:szCs w:val="24"/>
                <w:lang w:eastAsia="ru-RU"/>
              </w:rPr>
              <w:t xml:space="preserve">на момент окончания торгового дня  </w:t>
            </w:r>
            <w:r w:rsidRPr="00606D97">
              <w:rPr>
                <w:iCs/>
                <w:color w:val="000000" w:themeColor="text1"/>
                <w:sz w:val="24"/>
                <w:szCs w:val="24"/>
                <w:lang w:eastAsia="ru-RU"/>
              </w:rPr>
              <w:t>при условии, что</w:t>
            </w:r>
            <w:r w:rsidRPr="00606D97">
              <w:rPr>
                <w:color w:val="000000" w:themeColor="text1"/>
                <w:sz w:val="24"/>
                <w:szCs w:val="24"/>
                <w:lang w:eastAsia="ru-RU"/>
              </w:rPr>
              <w:t xml:space="preserve"> она находится в интервале между минимальной и максимальной ценами сделок на указанную  дату, включая границы интервала;   </w:t>
            </w:r>
          </w:p>
          <w:p w14:paraId="265135AD" w14:textId="77777777" w:rsidR="00217C22" w:rsidRPr="00606D97" w:rsidRDefault="00217C22" w:rsidP="00217C22">
            <w:pPr>
              <w:numPr>
                <w:ilvl w:val="0"/>
                <w:numId w:val="29"/>
              </w:numPr>
              <w:suppressAutoHyphens/>
              <w:autoSpaceDE w:val="0"/>
              <w:autoSpaceDN w:val="0"/>
              <w:adjustRightInd w:val="0"/>
              <w:spacing w:after="0" w:line="240" w:lineRule="auto"/>
              <w:ind w:left="0" w:firstLine="0"/>
              <w:jc w:val="both"/>
              <w:rPr>
                <w:color w:val="000000" w:themeColor="text1"/>
                <w:sz w:val="24"/>
                <w:szCs w:val="24"/>
                <w:lang w:eastAsia="ru-RU"/>
              </w:rPr>
            </w:pPr>
            <w:r w:rsidRPr="00606D97">
              <w:rPr>
                <w:color w:val="000000" w:themeColor="text1"/>
                <w:sz w:val="24"/>
                <w:szCs w:val="24"/>
              </w:rPr>
              <w:t xml:space="preserve"> цена закрытия (</w:t>
            </w:r>
            <w:r w:rsidRPr="00606D97">
              <w:rPr>
                <w:color w:val="000000" w:themeColor="text1"/>
                <w:sz w:val="24"/>
                <w:szCs w:val="24"/>
                <w:lang w:val="en-US"/>
              </w:rPr>
              <w:t>PX</w:t>
            </w:r>
            <w:r w:rsidRPr="00606D97">
              <w:rPr>
                <w:color w:val="000000" w:themeColor="text1"/>
                <w:sz w:val="24"/>
                <w:szCs w:val="24"/>
              </w:rPr>
              <w:t>_</w:t>
            </w:r>
            <w:r w:rsidRPr="00606D97">
              <w:rPr>
                <w:color w:val="000000" w:themeColor="text1"/>
                <w:sz w:val="24"/>
                <w:szCs w:val="24"/>
                <w:lang w:val="en-US"/>
              </w:rPr>
              <w:t>LAST</w:t>
            </w:r>
            <w:r w:rsidRPr="00606D97">
              <w:rPr>
                <w:color w:val="000000" w:themeColor="text1"/>
                <w:sz w:val="24"/>
                <w:szCs w:val="24"/>
              </w:rPr>
              <w:t xml:space="preserve">) при условии, что </w:t>
            </w:r>
            <w:r w:rsidRPr="00606D97">
              <w:rPr>
                <w:iCs/>
                <w:color w:val="000000" w:themeColor="text1"/>
                <w:sz w:val="24"/>
                <w:szCs w:val="24"/>
                <w:lang w:eastAsia="ru-RU"/>
              </w:rPr>
              <w:t>раскрыты данные об объеме торгов за день и он не равен нулю.</w:t>
            </w:r>
            <w:r w:rsidRPr="00606D97">
              <w:rPr>
                <w:color w:val="000000" w:themeColor="text1"/>
                <w:sz w:val="24"/>
                <w:szCs w:val="24"/>
                <w:lang w:eastAsia="ru-RU"/>
              </w:rPr>
              <w:t xml:space="preserve">           </w:t>
            </w:r>
          </w:p>
          <w:p w14:paraId="1484E3F3" w14:textId="77777777" w:rsidR="00217C22" w:rsidRPr="00606D97" w:rsidRDefault="00217C22" w:rsidP="00B5414D">
            <w:pPr>
              <w:suppressAutoHyphens/>
              <w:autoSpaceDE w:val="0"/>
              <w:autoSpaceDN w:val="0"/>
              <w:adjustRightInd w:val="0"/>
              <w:spacing w:after="0" w:line="240" w:lineRule="auto"/>
              <w:jc w:val="both"/>
              <w:rPr>
                <w:color w:val="000000" w:themeColor="text1"/>
                <w:sz w:val="24"/>
                <w:szCs w:val="24"/>
                <w:lang w:eastAsia="ru-RU"/>
              </w:rPr>
            </w:pPr>
          </w:p>
          <w:p w14:paraId="49299A4C" w14:textId="77777777" w:rsidR="00217C22" w:rsidRPr="00606D97" w:rsidRDefault="00217C22" w:rsidP="00B5414D">
            <w:pPr>
              <w:autoSpaceDN w:val="0"/>
              <w:adjustRightInd w:val="0"/>
              <w:jc w:val="both"/>
              <w:rPr>
                <w:color w:val="000000" w:themeColor="text1"/>
                <w:sz w:val="24"/>
                <w:szCs w:val="24"/>
              </w:rPr>
            </w:pPr>
            <w:r w:rsidRPr="00606D97">
              <w:rPr>
                <w:color w:val="000000" w:themeColor="text1"/>
                <w:sz w:val="24"/>
                <w:szCs w:val="24"/>
                <w:lang w:val="en-US" w:eastAsia="ru-RU"/>
              </w:rPr>
              <w:t>II</w:t>
            </w:r>
            <w:r w:rsidRPr="00606D97">
              <w:rPr>
                <w:color w:val="000000" w:themeColor="text1"/>
                <w:sz w:val="24"/>
                <w:szCs w:val="24"/>
                <w:lang w:eastAsia="ru-RU"/>
              </w:rPr>
              <w:t xml:space="preserve">. </w:t>
            </w:r>
            <w:r w:rsidRPr="00606D97">
              <w:rPr>
                <w:color w:val="000000" w:themeColor="text1"/>
                <w:sz w:val="24"/>
                <w:szCs w:val="24"/>
              </w:rPr>
              <w:t>Если на дату определения СЧА</w:t>
            </w:r>
            <w:r w:rsidRPr="00606D97" w:rsidDel="00FE7717">
              <w:rPr>
                <w:color w:val="000000" w:themeColor="text1"/>
                <w:sz w:val="24"/>
                <w:szCs w:val="24"/>
              </w:rPr>
              <w:t xml:space="preserve"> </w:t>
            </w:r>
            <w:r w:rsidRPr="00606D97">
              <w:rPr>
                <w:color w:val="000000" w:themeColor="text1"/>
                <w:sz w:val="24"/>
                <w:szCs w:val="24"/>
              </w:rPr>
              <w:t>отсутствуют цены основного рынка, допустимо использовать цены наиболее выгодного рынка на эту дату, выбранной в порядке, предусмотренном для выбора цены основного рынка.</w:t>
            </w:r>
          </w:p>
          <w:p w14:paraId="5C113837" w14:textId="77777777" w:rsidR="00217C22" w:rsidRPr="00606D97" w:rsidRDefault="00217C22" w:rsidP="00B5414D">
            <w:pPr>
              <w:autoSpaceDN w:val="0"/>
              <w:adjustRightInd w:val="0"/>
              <w:jc w:val="both"/>
              <w:rPr>
                <w:rFonts w:ascii="Verdana" w:hAnsi="Verdana"/>
                <w:sz w:val="20"/>
                <w:szCs w:val="20"/>
              </w:rPr>
            </w:pPr>
            <w:r w:rsidRPr="00606D97">
              <w:rPr>
                <w:color w:val="000000" w:themeColor="text1"/>
                <w:sz w:val="24"/>
                <w:szCs w:val="24"/>
                <w:lang w:val="en-US"/>
              </w:rPr>
              <w:t>III</w:t>
            </w:r>
            <w:r w:rsidRPr="00606D97">
              <w:rPr>
                <w:color w:val="000000" w:themeColor="text1"/>
                <w:sz w:val="24"/>
                <w:szCs w:val="24"/>
              </w:rPr>
              <w:t>. Справедливая стоимость долговой ценной бумаги определяется с учетом накопленного купонного дохода на дату определения СЧА.</w:t>
            </w:r>
            <w:r w:rsidRPr="00606D97">
              <w:rPr>
                <w:color w:val="000000" w:themeColor="text1"/>
                <w:sz w:val="24"/>
                <w:szCs w:val="24"/>
                <w:lang w:eastAsia="ru-RU"/>
              </w:rPr>
              <w:t xml:space="preserve">                                                                                                                      </w:t>
            </w:r>
          </w:p>
        </w:tc>
      </w:tr>
      <w:tr w:rsidR="00217C22" w:rsidRPr="00606D97" w14:paraId="2B48EC8D" w14:textId="77777777" w:rsidTr="00B5414D">
        <w:tc>
          <w:tcPr>
            <w:tcW w:w="13289" w:type="dxa"/>
            <w:gridSpan w:val="2"/>
            <w:tcBorders>
              <w:left w:val="nil"/>
              <w:bottom w:val="single" w:sz="4" w:space="0" w:color="auto"/>
              <w:right w:val="nil"/>
            </w:tcBorders>
            <w:shd w:val="clear" w:color="auto" w:fill="auto"/>
          </w:tcPr>
          <w:p w14:paraId="5B561A5F" w14:textId="77777777" w:rsidR="00217C22" w:rsidRPr="00606D97" w:rsidRDefault="00217C22" w:rsidP="00B5414D">
            <w:pPr>
              <w:spacing w:before="240" w:after="240" w:line="240" w:lineRule="auto"/>
              <w:rPr>
                <w:rFonts w:ascii="Verdana" w:hAnsi="Verdana"/>
                <w:bCs/>
                <w:iCs/>
                <w:color w:val="943634"/>
                <w:szCs w:val="20"/>
              </w:rPr>
            </w:pPr>
          </w:p>
          <w:p w14:paraId="113EA893" w14:textId="77777777" w:rsidR="00217C22" w:rsidRPr="00606D97" w:rsidRDefault="00217C22" w:rsidP="00B5414D">
            <w:pPr>
              <w:spacing w:before="240" w:after="240" w:line="240" w:lineRule="auto"/>
              <w:rPr>
                <w:rFonts w:ascii="Verdana" w:hAnsi="Verdana"/>
                <w:bCs/>
                <w:iCs/>
                <w:color w:val="943634"/>
                <w:szCs w:val="20"/>
              </w:rPr>
            </w:pPr>
          </w:p>
          <w:p w14:paraId="2BD5BEC2" w14:textId="77777777" w:rsidR="00217C22" w:rsidRPr="00606D97" w:rsidRDefault="00217C22" w:rsidP="00B5414D">
            <w:pPr>
              <w:spacing w:before="240" w:after="240" w:line="240" w:lineRule="auto"/>
              <w:rPr>
                <w:rFonts w:ascii="Verdana" w:hAnsi="Verdana"/>
                <w:bCs/>
                <w:iCs/>
                <w:color w:val="943634"/>
                <w:szCs w:val="20"/>
              </w:rPr>
            </w:pPr>
            <w:r w:rsidRPr="00606D97">
              <w:rPr>
                <w:rFonts w:ascii="Verdana" w:hAnsi="Verdana"/>
                <w:bCs/>
                <w:iCs/>
                <w:color w:val="943634"/>
                <w:szCs w:val="20"/>
              </w:rPr>
              <w:t xml:space="preserve">Модели оценки стоимости ценных бумаг, для которых определяется </w:t>
            </w:r>
            <w:r w:rsidRPr="00606D97">
              <w:rPr>
                <w:rFonts w:ascii="Verdana" w:hAnsi="Verdana"/>
                <w:b/>
                <w:bCs/>
                <w:iCs/>
                <w:color w:val="943634"/>
                <w:szCs w:val="20"/>
              </w:rPr>
              <w:t xml:space="preserve">активный внебиржевой рынок </w:t>
            </w:r>
            <w:r w:rsidRPr="00606D97">
              <w:rPr>
                <w:rFonts w:ascii="Verdana" w:hAnsi="Verdana"/>
                <w:bCs/>
                <w:iCs/>
                <w:color w:val="943634"/>
                <w:szCs w:val="20"/>
              </w:rPr>
              <w:t xml:space="preserve"> или для которых имеются наблюдаемые данные в отсутствии цен 1-го уровня  (</w:t>
            </w:r>
            <w:r w:rsidRPr="00606D97">
              <w:rPr>
                <w:rFonts w:ascii="Verdana" w:hAnsi="Verdana"/>
                <w:b/>
                <w:bCs/>
                <w:iCs/>
                <w:color w:val="943634"/>
                <w:szCs w:val="20"/>
              </w:rPr>
              <w:t>2-й уровень</w:t>
            </w:r>
            <w:r w:rsidRPr="00606D97">
              <w:rPr>
                <w:rFonts w:ascii="Verdana" w:hAnsi="Verdana"/>
                <w:bCs/>
                <w:iCs/>
                <w:color w:val="943634"/>
                <w:szCs w:val="20"/>
              </w:rPr>
              <w:t>)</w:t>
            </w:r>
          </w:p>
          <w:p w14:paraId="4203EA86" w14:textId="77777777" w:rsidR="00217C22" w:rsidRPr="00606D97" w:rsidRDefault="00217C22" w:rsidP="00B5414D">
            <w:pPr>
              <w:spacing w:before="240" w:after="240" w:line="240" w:lineRule="auto"/>
              <w:rPr>
                <w:rFonts w:ascii="Verdana" w:hAnsi="Verdana"/>
                <w:bCs/>
                <w:iCs/>
                <w:color w:val="943634"/>
                <w:szCs w:val="20"/>
              </w:rPr>
            </w:pPr>
          </w:p>
        </w:tc>
      </w:tr>
      <w:tr w:rsidR="00217C22" w:rsidRPr="00606D97" w14:paraId="75543B73" w14:textId="77777777" w:rsidTr="00B5414D">
        <w:tc>
          <w:tcPr>
            <w:tcW w:w="3176" w:type="dxa"/>
            <w:shd w:val="clear" w:color="auto" w:fill="A6A6A6"/>
          </w:tcPr>
          <w:p w14:paraId="27A796D8"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Ценные бумаги</w:t>
            </w:r>
          </w:p>
        </w:tc>
        <w:tc>
          <w:tcPr>
            <w:tcW w:w="10113" w:type="dxa"/>
            <w:shd w:val="clear" w:color="auto" w:fill="A6A6A6"/>
          </w:tcPr>
          <w:p w14:paraId="6352AA18"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14:paraId="5D86CA95" w14:textId="77777777" w:rsidTr="00B5414D">
        <w:tc>
          <w:tcPr>
            <w:tcW w:w="3176" w:type="dxa"/>
            <w:shd w:val="clear" w:color="auto" w:fill="auto"/>
          </w:tcPr>
          <w:p w14:paraId="3B7997B9" w14:textId="77777777" w:rsidR="00217C22" w:rsidRPr="00606D97" w:rsidRDefault="00217C22" w:rsidP="00B5414D">
            <w:pPr>
              <w:autoSpaceDN w:val="0"/>
              <w:adjustRightInd w:val="0"/>
              <w:rPr>
                <w:color w:val="000000" w:themeColor="text1"/>
                <w:sz w:val="24"/>
                <w:szCs w:val="24"/>
                <w:lang w:eastAsia="ru-RU"/>
              </w:rPr>
            </w:pPr>
            <w:r w:rsidRPr="00606D97">
              <w:rPr>
                <w:b/>
                <w:sz w:val="24"/>
                <w:szCs w:val="24"/>
              </w:rPr>
              <w:t>Ценные бумаги российских эмитентов* (за исключением еврооблигаций), а так же иные ценные бумаги, номинированные в рублях</w:t>
            </w:r>
            <w:r w:rsidRPr="00606D97" w:rsidDel="000A11B1">
              <w:rPr>
                <w:color w:val="000000" w:themeColor="text1"/>
                <w:sz w:val="24"/>
                <w:szCs w:val="24"/>
                <w:lang w:eastAsia="ru-RU"/>
              </w:rPr>
              <w:t xml:space="preserve"> </w:t>
            </w:r>
          </w:p>
          <w:p w14:paraId="42BE723E" w14:textId="77777777" w:rsidR="00217C22" w:rsidRPr="00606D97" w:rsidRDefault="00217C22" w:rsidP="00B5414D">
            <w:pPr>
              <w:spacing w:after="0" w:line="240" w:lineRule="auto"/>
              <w:rPr>
                <w:rFonts w:ascii="Verdana" w:eastAsia="Times New Roman" w:hAnsi="Verdana"/>
                <w:b/>
                <w:color w:val="000000"/>
                <w:sz w:val="18"/>
                <w:szCs w:val="20"/>
                <w:lang w:eastAsia="ru-RU"/>
              </w:rPr>
            </w:pPr>
            <w:r w:rsidRPr="00606D97">
              <w:rPr>
                <w:lang w:eastAsia="ru-RU"/>
              </w:rPr>
              <w:t>* в том числе инвестиционные паи российских паевых инвестиционных фондов, ипотечные сертификаты участия</w:t>
            </w:r>
          </w:p>
        </w:tc>
        <w:tc>
          <w:tcPr>
            <w:tcW w:w="10113" w:type="dxa"/>
            <w:shd w:val="clear" w:color="auto" w:fill="auto"/>
          </w:tcPr>
          <w:p w14:paraId="1F318CCB" w14:textId="77777777" w:rsidR="00217C22" w:rsidRPr="00606D97" w:rsidRDefault="00217C22" w:rsidP="00B5414D">
            <w:pPr>
              <w:rPr>
                <w:bCs/>
                <w:color w:val="000000" w:themeColor="text1"/>
                <w:sz w:val="24"/>
                <w:szCs w:val="24"/>
              </w:rPr>
            </w:pPr>
            <w:r w:rsidRPr="00606D97">
              <w:rPr>
                <w:b/>
                <w:bCs/>
                <w:color w:val="000000" w:themeColor="text1"/>
                <w:sz w:val="24"/>
                <w:szCs w:val="24"/>
                <w:lang w:val="en-US"/>
              </w:rPr>
              <w:t>I</w:t>
            </w:r>
            <w:r w:rsidRPr="00606D97">
              <w:rPr>
                <w:b/>
                <w:bCs/>
                <w:color w:val="000000" w:themeColor="text1"/>
                <w:sz w:val="24"/>
                <w:szCs w:val="24"/>
              </w:rPr>
              <w:t>.</w:t>
            </w:r>
            <w:r w:rsidRPr="00606D97">
              <w:rPr>
                <w:bCs/>
                <w:color w:val="000000" w:themeColor="text1"/>
                <w:sz w:val="24"/>
                <w:szCs w:val="24"/>
              </w:rPr>
              <w:t xml:space="preserve"> </w:t>
            </w:r>
            <w:r w:rsidRPr="00606D97">
              <w:rPr>
                <w:b/>
                <w:bCs/>
                <w:color w:val="000000" w:themeColor="text1"/>
                <w:sz w:val="24"/>
                <w:szCs w:val="24"/>
              </w:rPr>
              <w:t>Справедливая стоимость</w:t>
            </w:r>
            <w:r w:rsidRPr="00606D97">
              <w:rPr>
                <w:bCs/>
                <w:color w:val="000000" w:themeColor="text1"/>
                <w:sz w:val="24"/>
                <w:szCs w:val="24"/>
              </w:rPr>
              <w:t xml:space="preserve"> </w:t>
            </w:r>
            <w:r w:rsidRPr="00606D97">
              <w:rPr>
                <w:b/>
                <w:bCs/>
                <w:color w:val="000000" w:themeColor="text1"/>
                <w:sz w:val="24"/>
                <w:szCs w:val="24"/>
              </w:rPr>
              <w:t>акций российских эмитентов</w:t>
            </w:r>
            <w:r w:rsidRPr="00606D97">
              <w:rPr>
                <w:bCs/>
                <w:color w:val="000000" w:themeColor="text1"/>
                <w:sz w:val="24"/>
                <w:szCs w:val="24"/>
              </w:rPr>
              <w:t>, обращающихся на фондовых биржах, определяется в соответствии с моделью оценки, основанной на корректировке исторической цены (далее – модель CAPM).</w:t>
            </w:r>
            <w:r w:rsidRPr="00606D97">
              <w:rPr>
                <w:color w:val="000000" w:themeColor="text1"/>
                <w:sz w:val="24"/>
                <w:szCs w:val="24"/>
                <w:lang w:eastAsia="ru-RU"/>
              </w:rPr>
              <w:br/>
            </w:r>
            <w:r w:rsidRPr="00606D97">
              <w:rPr>
                <w:bCs/>
                <w:color w:val="000000" w:themeColor="text1"/>
                <w:sz w:val="24"/>
                <w:szCs w:val="24"/>
              </w:rPr>
              <w:t>Данная корректировка применяется в случае отсутствия цен 1 уровня в течение не более десяти рабочих дней.</w:t>
            </w:r>
          </w:p>
          <w:p w14:paraId="4AF2FA2C" w14:textId="77777777" w:rsidR="00217C22" w:rsidRPr="00606D97" w:rsidRDefault="00217C22" w:rsidP="00B5414D">
            <w:pPr>
              <w:rPr>
                <w:bCs/>
                <w:color w:val="000000" w:themeColor="text1"/>
                <w:sz w:val="24"/>
                <w:szCs w:val="24"/>
              </w:rPr>
            </w:pPr>
            <w:r w:rsidRPr="00606D97">
              <w:rPr>
                <w:bCs/>
                <w:color w:val="000000" w:themeColor="text1"/>
                <w:sz w:val="24"/>
                <w:szCs w:val="24"/>
              </w:rPr>
              <w:t xml:space="preserve"> Для целей оценки справедливой стоимости используется сравнение динамики (доходности за определенный промежуток времени) анализируемой акции с динамикой рыночного индикатора, а именно индекса Московской Биржи (IMOEX).</w:t>
            </w:r>
          </w:p>
          <w:p w14:paraId="66744D30" w14:textId="77777777" w:rsidR="00217C22" w:rsidRPr="00606D97" w:rsidRDefault="00217C22" w:rsidP="00B5414D">
            <w:pPr>
              <w:jc w:val="both"/>
              <w:rPr>
                <w:color w:val="000000" w:themeColor="text1"/>
                <w:sz w:val="24"/>
                <w:szCs w:val="24"/>
              </w:rPr>
            </w:pPr>
            <w:r w:rsidRPr="00606D97">
              <w:rPr>
                <w:color w:val="000000" w:themeColor="text1"/>
                <w:sz w:val="24"/>
                <w:szCs w:val="24"/>
              </w:rPr>
              <w:t>Формула расчета справедливой стоимости:</w:t>
            </w:r>
            <w:r w:rsidRPr="00606D97">
              <w:rPr>
                <w:color w:val="000000" w:themeColor="text1"/>
                <w:sz w:val="24"/>
                <w:szCs w:val="24"/>
              </w:rPr>
              <w:br/>
            </w:r>
          </w:p>
          <w:p w14:paraId="16C21729" w14:textId="77777777" w:rsidR="00217C22" w:rsidRPr="00606D97" w:rsidRDefault="00A3154D" w:rsidP="00B5414D">
            <w:pPr>
              <w:jc w:val="both"/>
              <w:rPr>
                <w:color w:val="000000" w:themeColor="text1"/>
                <w:sz w:val="24"/>
                <w:szCs w:val="24"/>
              </w:rPr>
            </w:pPr>
            <m:oMathPara>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1</m:t>
                    </m:r>
                  </m:sub>
                </m:sSub>
                <m:r>
                  <m:rPr>
                    <m:sty m:val="p"/>
                  </m:rPr>
                  <w:rPr>
                    <w:rFonts w:ascii="Cambria Math"/>
                    <w:color w:val="000000" w:themeColor="text1"/>
                    <w:sz w:val="24"/>
                    <w:szCs w:val="24"/>
                  </w:rPr>
                  <m:t>=</m:t>
                </m:r>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0</m:t>
                    </m:r>
                  </m:sub>
                </m:sSub>
                <m:r>
                  <m:rPr>
                    <m:sty m:val="p"/>
                  </m:rPr>
                  <w:rPr>
                    <w:rFonts w:ascii="Cambria Math" w:hint="eastAsia"/>
                    <w:color w:val="000000" w:themeColor="text1"/>
                    <w:sz w:val="24"/>
                    <w:szCs w:val="24"/>
                  </w:rPr>
                  <m:t>×</m:t>
                </m:r>
                <m:d>
                  <m:dPr>
                    <m:ctrlPr>
                      <w:rPr>
                        <w:rFonts w:ascii="Cambria Math" w:hAnsi="Cambria Math"/>
                        <w:color w:val="000000" w:themeColor="text1"/>
                        <w:sz w:val="24"/>
                        <w:szCs w:val="24"/>
                      </w:rPr>
                    </m:ctrlPr>
                  </m:dPr>
                  <m:e>
                    <m:r>
                      <m:rPr>
                        <m:sty m:val="p"/>
                      </m:rPr>
                      <w:rPr>
                        <w:rFonts w:ascii="Cambria Math"/>
                        <w:color w:val="000000" w:themeColor="text1"/>
                        <w:sz w:val="24"/>
                        <w:szCs w:val="24"/>
                      </w:rPr>
                      <m:t>1+E(R)</m:t>
                    </m:r>
                  </m:e>
                </m:d>
              </m:oMath>
            </m:oMathPara>
          </w:p>
          <w:p w14:paraId="2EFF48E0" w14:textId="77777777" w:rsidR="00217C22" w:rsidRPr="00606D97" w:rsidRDefault="00217C22" w:rsidP="00B5414D">
            <w:pPr>
              <w:jc w:val="both"/>
              <w:rPr>
                <w:color w:val="000000" w:themeColor="text1"/>
                <w:sz w:val="24"/>
                <w:szCs w:val="24"/>
              </w:rPr>
            </w:pPr>
            <m:oMathPara>
              <m:oMath>
                <m:r>
                  <m:rPr>
                    <m:sty m:val="p"/>
                  </m:rPr>
                  <w:rPr>
                    <w:rFonts w:ascii="Cambria Math"/>
                    <w:color w:val="000000" w:themeColor="text1"/>
                    <w:sz w:val="24"/>
                    <w:szCs w:val="24"/>
                  </w:rPr>
                  <m:t>E</m:t>
                </m:r>
                <m:d>
                  <m:dPr>
                    <m:ctrlPr>
                      <w:rPr>
                        <w:rFonts w:ascii="Cambria Math" w:hAnsi="Cambria Math"/>
                        <w:color w:val="000000" w:themeColor="text1"/>
                        <w:sz w:val="24"/>
                        <w:szCs w:val="24"/>
                      </w:rPr>
                    </m:ctrlPr>
                  </m:dPr>
                  <m:e>
                    <m:r>
                      <m:rPr>
                        <m:sty m:val="p"/>
                      </m:rPr>
                      <w:rPr>
                        <w:rFonts w:ascii="Cambria Math"/>
                        <w:color w:val="000000" w:themeColor="text1"/>
                        <w:sz w:val="24"/>
                        <w:szCs w:val="24"/>
                      </w:rPr>
                      <m:t>R</m:t>
                    </m:r>
                  </m:e>
                </m:d>
                <m:r>
                  <m:rPr>
                    <m:sty m:val="p"/>
                  </m:rPr>
                  <w:rPr>
                    <w:rFonts w:ascii="Cambria Math"/>
                    <w:color w:val="000000" w:themeColor="text1"/>
                    <w:sz w:val="24"/>
                    <w:szCs w:val="24"/>
                  </w:rPr>
                  <m:t>=</m:t>
                </m:r>
                <m:sSubSup>
                  <m:sSubSupPr>
                    <m:ctrlPr>
                      <w:rPr>
                        <w:rFonts w:ascii="Cambria Math" w:hAnsi="Cambria Math"/>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r>
                  <m:rPr>
                    <m:sty m:val="p"/>
                  </m:rPr>
                  <w:rPr>
                    <w:rFonts w:ascii="Cambria Math"/>
                    <w:color w:val="000000" w:themeColor="text1"/>
                    <w:sz w:val="24"/>
                    <w:szCs w:val="24"/>
                  </w:rPr>
                  <m:t>+</m:t>
                </m:r>
                <m:r>
                  <m:rPr>
                    <m:sty m:val="p"/>
                  </m:rPr>
                  <w:rPr>
                    <w:rFonts w:ascii="Cambria Math" w:hint="eastAsia"/>
                    <w:color w:val="000000" w:themeColor="text1"/>
                    <w:sz w:val="24"/>
                    <w:szCs w:val="24"/>
                  </w:rPr>
                  <m:t>β</m:t>
                </m:r>
                <m:r>
                  <m:rPr>
                    <m:sty m:val="p"/>
                  </m:rPr>
                  <w:rPr>
                    <w:rFonts w:ascii="Cambria Math"/>
                    <w:color w:val="000000" w:themeColor="text1"/>
                    <w:sz w:val="24"/>
                    <w:szCs w:val="24"/>
                  </w:rPr>
                  <m:t xml:space="preserv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sSubSup>
                      <m:sSubSupPr>
                        <m:ctrlPr>
                          <w:rPr>
                            <w:rFonts w:ascii="Cambria Math" w:hAnsi="Cambria Math"/>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e>
                </m:d>
              </m:oMath>
            </m:oMathPara>
          </w:p>
          <w:p w14:paraId="129B9012" w14:textId="77777777" w:rsidR="00217C22" w:rsidRPr="00606D97" w:rsidRDefault="00A3154D" w:rsidP="00B5414D">
            <w:pPr>
              <w:jc w:val="center"/>
              <w:rPr>
                <w:color w:val="000000" w:themeColor="text1"/>
                <w:sz w:val="24"/>
                <w:szCs w:val="24"/>
              </w:rPr>
            </w:pPr>
            <m:oMathPara>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1</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0</m:t>
                        </m:r>
                      </m:sub>
                    </m:sSub>
                  </m:den>
                </m:f>
                <m:r>
                  <m:rPr>
                    <m:sty m:val="p"/>
                  </m:rPr>
                  <w:rPr>
                    <w:rFonts w:ascii="Cambria Math"/>
                    <w:color w:val="000000" w:themeColor="text1"/>
                    <w:sz w:val="24"/>
                    <w:szCs w:val="24"/>
                  </w:rPr>
                  <m:t>-</m:t>
                </m:r>
                <m:r>
                  <m:rPr>
                    <m:sty m:val="p"/>
                  </m:rPr>
                  <w:rPr>
                    <w:rFonts w:ascii="Cambria Math"/>
                    <w:color w:val="000000" w:themeColor="text1"/>
                    <w:sz w:val="24"/>
                    <w:szCs w:val="24"/>
                  </w:rPr>
                  <m:t>1</m:t>
                </m:r>
              </m:oMath>
            </m:oMathPara>
          </w:p>
          <w:p w14:paraId="74F2BC15" w14:textId="77777777" w:rsidR="00217C22" w:rsidRPr="00606D97" w:rsidRDefault="00A3154D" w:rsidP="00B5414D">
            <w:pPr>
              <w:jc w:val="both"/>
              <w:rPr>
                <w:rFonts w:asciiTheme="minorHAnsi" w:hAnsiTheme="minorHAnsi"/>
                <w:bCs/>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1</m:t>
                  </m:r>
                </m:sub>
              </m:sSub>
            </m:oMath>
            <w:r w:rsidR="00217C22" w:rsidRPr="00606D97">
              <w:rPr>
                <w:color w:val="000000" w:themeColor="text1"/>
                <w:sz w:val="24"/>
                <w:szCs w:val="24"/>
              </w:rPr>
              <w:t xml:space="preserve"> </w:t>
            </w:r>
            <w:r w:rsidR="00217C22" w:rsidRPr="00606D97">
              <w:rPr>
                <w:rFonts w:asciiTheme="minorHAnsi" w:hAnsiTheme="minorHAnsi"/>
                <w:bCs/>
                <w:color w:val="000000" w:themeColor="text1"/>
                <w:sz w:val="24"/>
                <w:szCs w:val="24"/>
              </w:rPr>
              <w:t>– справедливая стоимость одной ценной бумаги на дату определения справедливой стоимости;</w:t>
            </w:r>
          </w:p>
          <w:p w14:paraId="1F265EA7" w14:textId="77777777" w:rsidR="00217C22" w:rsidRPr="00606D97" w:rsidRDefault="00A3154D"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t>
                  </m:r>
                </m:e>
                <m:sub>
                  <m:r>
                    <m:rPr>
                      <m:sty m:val="p"/>
                    </m:rPr>
                    <w:rPr>
                      <w:rFonts w:ascii="Cambria Math" w:hAnsi="Cambria Math"/>
                      <w:color w:val="000000" w:themeColor="text1"/>
                      <w:sz w:val="24"/>
                      <w:szCs w:val="24"/>
                    </w:rPr>
                    <m:t>0</m:t>
                  </m:r>
                </m:sub>
              </m:sSub>
            </m:oMath>
            <w:r w:rsidR="00217C22" w:rsidRPr="00606D97">
              <w:rPr>
                <w:rFonts w:asciiTheme="minorHAnsi" w:hAnsiTheme="minorHAnsi"/>
                <w:bCs/>
                <w:color w:val="000000" w:themeColor="text1"/>
                <w:sz w:val="24"/>
                <w:szCs w:val="24"/>
              </w:rPr>
              <w:t xml:space="preserve"> – последняя определенная справедливая стоимость ценной бумаги;</w:t>
            </w:r>
          </w:p>
          <w:p w14:paraId="1E09EB3C" w14:textId="77777777" w:rsidR="00217C22" w:rsidRPr="00606D97" w:rsidRDefault="00A3154D"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1</m:t>
                  </m:r>
                </m:sub>
              </m:sSub>
            </m:oMath>
            <w:r w:rsidR="00217C22" w:rsidRPr="00606D97">
              <w:rPr>
                <w:rFonts w:asciiTheme="minorHAnsi" w:hAnsiTheme="minorHAnsi"/>
                <w:bCs/>
                <w:color w:val="000000" w:themeColor="text1"/>
                <w:sz w:val="24"/>
                <w:szCs w:val="24"/>
              </w:rPr>
              <w:t xml:space="preserve"> – значение рыночного индикатора на дату определения справедливой стоимости (в случае отсутствия значения на дату определения справедливой стоимости берется среднее значение индикатора, рассчитанное за 30 предшествующих торговых дней);</w:t>
            </w:r>
          </w:p>
          <w:p w14:paraId="7D9229F8" w14:textId="77777777" w:rsidR="00217C22" w:rsidRPr="00606D97" w:rsidRDefault="00A3154D"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0</m:t>
                  </m:r>
                </m:sub>
              </m:sSub>
            </m:oMath>
            <w:r w:rsidR="00217C22" w:rsidRPr="00606D97">
              <w:rPr>
                <w:rFonts w:asciiTheme="minorHAnsi" w:hAnsiTheme="minorHAnsi"/>
                <w:bCs/>
                <w:color w:val="000000" w:themeColor="text1"/>
                <w:sz w:val="24"/>
                <w:szCs w:val="24"/>
              </w:rPr>
              <w:t xml:space="preserve"> – значение рыночного индикатора на предыдущую дату определения справедливой стоимости.</w:t>
            </w:r>
          </w:p>
          <w:p w14:paraId="6B6112BE" w14:textId="77777777" w:rsidR="00217C22" w:rsidRPr="00606D97" w:rsidRDefault="00217C22" w:rsidP="00B5414D">
            <w:pPr>
              <w:jc w:val="both"/>
              <w:rPr>
                <w:rFonts w:asciiTheme="minorHAnsi" w:hAnsiTheme="minorHAnsi"/>
                <w:bCs/>
                <w:color w:val="000000" w:themeColor="text1"/>
                <w:sz w:val="24"/>
                <w:szCs w:val="24"/>
              </w:rPr>
            </w:pPr>
            <m:oMath>
              <m:r>
                <m:rPr>
                  <m:sty m:val="p"/>
                </m:rPr>
                <w:rPr>
                  <w:rFonts w:ascii="Cambria Math" w:hAnsi="Cambria Math"/>
                  <w:color w:val="000000" w:themeColor="text1"/>
                  <w:sz w:val="24"/>
                  <w:szCs w:val="24"/>
                </w:rPr>
                <m:t>E</m:t>
              </m:r>
              <m:d>
                <m:dPr>
                  <m:ctrlPr>
                    <w:rPr>
                      <w:rFonts w:ascii="Cambria Math" w:hAnsi="Cambria Math"/>
                      <w:bCs/>
                      <w:color w:val="000000" w:themeColor="text1"/>
                      <w:sz w:val="24"/>
                      <w:szCs w:val="24"/>
                    </w:rPr>
                  </m:ctrlPr>
                </m:dPr>
                <m:e>
                  <m:r>
                    <m:rPr>
                      <m:sty m:val="p"/>
                    </m:rPr>
                    <w:rPr>
                      <w:rFonts w:ascii="Cambria Math" w:hAnsi="Cambria Math"/>
                      <w:color w:val="000000" w:themeColor="text1"/>
                      <w:sz w:val="24"/>
                      <w:szCs w:val="24"/>
                    </w:rPr>
                    <m:t>R</m:t>
                  </m:r>
                </m:e>
              </m:d>
            </m:oMath>
            <w:r w:rsidRPr="00606D97">
              <w:rPr>
                <w:rFonts w:asciiTheme="minorHAnsi" w:hAnsiTheme="minorHAnsi"/>
                <w:bCs/>
                <w:color w:val="000000" w:themeColor="text1"/>
                <w:sz w:val="24"/>
                <w:szCs w:val="24"/>
              </w:rPr>
              <w:t xml:space="preserve"> – ожидаемая доходность ценной бумаги;</w:t>
            </w:r>
          </w:p>
          <w:p w14:paraId="0618E269" w14:textId="77777777" w:rsidR="00217C22" w:rsidRPr="00606D97" w:rsidRDefault="00217C22" w:rsidP="00B5414D">
            <w:pPr>
              <w:jc w:val="both"/>
              <w:rPr>
                <w:rFonts w:asciiTheme="minorHAnsi" w:hAnsiTheme="minorHAnsi"/>
                <w:bCs/>
                <w:color w:val="000000" w:themeColor="text1"/>
                <w:sz w:val="24"/>
                <w:szCs w:val="24"/>
              </w:rPr>
            </w:pPr>
            <m:oMath>
              <m:r>
                <m:rPr>
                  <m:sty m:val="p"/>
                </m:rPr>
                <w:rPr>
                  <w:rFonts w:ascii="Cambria Math" w:hAnsi="Cambria Math"/>
                  <w:color w:val="000000" w:themeColor="text1"/>
                  <w:sz w:val="24"/>
                  <w:szCs w:val="24"/>
                </w:rPr>
                <m:t>β</m:t>
              </m:r>
            </m:oMath>
            <w:r w:rsidRPr="00606D97">
              <w:rPr>
                <w:rFonts w:asciiTheme="minorHAnsi" w:hAnsiTheme="minorHAnsi"/>
                <w:bCs/>
                <w:color w:val="000000" w:themeColor="text1"/>
                <w:sz w:val="24"/>
                <w:szCs w:val="24"/>
              </w:rPr>
              <w:t xml:space="preserve"> – бета коэффициент, рассчитанный по изменениям цен (значений) рыночного индикатора и изменениям цены акции. Для расчета коэффициента </w:t>
            </w:r>
            <m:oMath>
              <m:r>
                <m:rPr>
                  <m:sty m:val="p"/>
                </m:rPr>
                <w:rPr>
                  <w:rFonts w:ascii="Cambria Math" w:hAnsi="Cambria Math"/>
                  <w:color w:val="000000" w:themeColor="text1"/>
                  <w:sz w:val="24"/>
                  <w:szCs w:val="24"/>
                </w:rPr>
                <m:t xml:space="preserve"> β</m:t>
              </m:r>
            </m:oMath>
            <w:r w:rsidRPr="00606D97">
              <w:rPr>
                <w:rFonts w:asciiTheme="minorHAnsi" w:hAnsiTheme="minorHAnsi"/>
                <w:bCs/>
                <w:color w:val="000000" w:themeColor="text1"/>
                <w:sz w:val="24"/>
                <w:szCs w:val="24"/>
              </w:rPr>
              <w:t xml:space="preserve"> используются значения, определенные за последние 45 торговых дней, предшествующих дате определения справедливой стоимости;</w:t>
            </w:r>
          </w:p>
          <w:p w14:paraId="03B29277" w14:textId="77777777" w:rsidR="00217C22" w:rsidRPr="00606D97" w:rsidRDefault="00A3154D"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00217C22" w:rsidRPr="00606D97">
              <w:rPr>
                <w:rFonts w:asciiTheme="minorHAnsi" w:hAnsiTheme="minorHAnsi"/>
                <w:bCs/>
                <w:color w:val="000000" w:themeColor="text1"/>
                <w:sz w:val="24"/>
                <w:szCs w:val="24"/>
              </w:rPr>
              <w:t xml:space="preserve"> - доходность рыночного индикатора;</w:t>
            </w:r>
          </w:p>
          <w:p w14:paraId="74A99B2C" w14:textId="77777777" w:rsidR="00217C22" w:rsidRPr="00606D97" w:rsidRDefault="00A3154D" w:rsidP="00B5414D">
            <w:pPr>
              <w:jc w:val="both"/>
              <w:rPr>
                <w:bCs/>
                <w:color w:val="000000" w:themeColor="text1"/>
                <w:sz w:val="24"/>
                <w:szCs w:val="24"/>
              </w:rPr>
            </w:pPr>
            <m:oMath>
              <m:sSubSup>
                <m:sSubSupPr>
                  <m:ctrlPr>
                    <w:rPr>
                      <w:rFonts w:ascii="Cambria Math" w:hAnsi="Cambria Math"/>
                      <w:bCs/>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oMath>
            <w:r w:rsidR="00217C22" w:rsidRPr="00606D97">
              <w:rPr>
                <w:bCs/>
                <w:color w:val="000000" w:themeColor="text1"/>
                <w:sz w:val="24"/>
                <w:szCs w:val="24"/>
              </w:rPr>
              <w:t xml:space="preserve"> </w:t>
            </w:r>
            <w:r w:rsidR="00217C22" w:rsidRPr="00606D97">
              <w:rPr>
                <w:rFonts w:hint="eastAsia"/>
                <w:bCs/>
                <w:color w:val="000000" w:themeColor="text1"/>
                <w:sz w:val="24"/>
                <w:szCs w:val="24"/>
              </w:rPr>
              <w:t>–</w:t>
            </w:r>
            <w:r w:rsidR="00217C22" w:rsidRPr="00606D97">
              <w:rPr>
                <w:bCs/>
                <w:color w:val="000000" w:themeColor="text1"/>
                <w:sz w:val="24"/>
                <w:szCs w:val="24"/>
              </w:rPr>
              <w:t xml:space="preserve"> безрисковая ставка доходности, определенная на дату определения стоимости:</w:t>
            </w:r>
          </w:p>
          <w:p w14:paraId="29B2CCD0" w14:textId="77777777" w:rsidR="00217C22" w:rsidRPr="00606D97" w:rsidRDefault="00A3154D" w:rsidP="00B5414D">
            <w:pPr>
              <w:rPr>
                <w:color w:val="000000" w:themeColor="text1"/>
                <w:sz w:val="24"/>
                <w:szCs w:val="24"/>
              </w:rPr>
            </w:pPr>
            <m:oMathPara>
              <m:oMath>
                <m:sSubSup>
                  <m:sSubSupPr>
                    <m:ctrlPr>
                      <w:rPr>
                        <w:rFonts w:ascii="Cambria Math" w:hAnsi="Cambria Math"/>
                        <w:i/>
                        <w:color w:val="000000" w:themeColor="text1"/>
                        <w:sz w:val="24"/>
                        <w:szCs w:val="24"/>
                        <w:lang w:val="en-US"/>
                      </w:rPr>
                    </m:ctrlPr>
                  </m:sSubSup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up>
                    <m:r>
                      <w:rPr>
                        <w:rFonts w:ascii="Cambria Math"/>
                        <w:color w:val="000000" w:themeColor="text1"/>
                        <w:sz w:val="24"/>
                        <w:szCs w:val="24"/>
                        <w:lang w:val="en-US"/>
                      </w:rPr>
                      <m:t>'</m:t>
                    </m:r>
                  </m:sup>
                </m:sSubSup>
                <m:r>
                  <w:rPr>
                    <w:rFonts w:ascii="Cambria Math"/>
                    <w:color w:val="000000" w:themeColor="text1"/>
                    <w:sz w:val="24"/>
                    <w:szCs w:val="24"/>
                    <w:lang w:val="en-US"/>
                  </w:rPr>
                  <m:t xml:space="preserve">= </m:t>
                </m:r>
                <m:d>
                  <m:dPr>
                    <m:ctrlPr>
                      <w:rPr>
                        <w:rFonts w:ascii="Cambria Math" w:hAnsi="Cambria Math"/>
                        <w:i/>
                        <w:color w:val="000000" w:themeColor="text1"/>
                        <w:sz w:val="24"/>
                        <w:szCs w:val="24"/>
                        <w:lang w:val="en-US"/>
                      </w:rPr>
                    </m:ctrlPr>
                  </m:dPr>
                  <m:e>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Sub>
                    <m:r>
                      <w:rPr>
                        <w:rFonts w:ascii="Cambria Math"/>
                        <w:color w:val="000000" w:themeColor="text1"/>
                        <w:sz w:val="24"/>
                        <w:szCs w:val="24"/>
                        <w:lang w:val="en-US"/>
                      </w:rPr>
                      <m:t>/D</m:t>
                    </m:r>
                  </m:e>
                </m:d>
                <m:r>
                  <w:rPr>
                    <w:rFonts w:ascii="Cambria Math" w:hAnsi="Cambria Math"/>
                    <w:color w:val="000000" w:themeColor="text1"/>
                    <w:sz w:val="24"/>
                    <w:szCs w:val="24"/>
                    <w:lang w:val="en-US"/>
                  </w:rPr>
                  <m:t>×</m:t>
                </m:r>
                <m:d>
                  <m:dPr>
                    <m:ctrlPr>
                      <w:rPr>
                        <w:rFonts w:ascii="Cambria Math" w:hAnsi="Cambria Math"/>
                        <w:i/>
                        <w:color w:val="000000" w:themeColor="text1"/>
                        <w:sz w:val="24"/>
                        <w:szCs w:val="24"/>
                        <w:lang w:val="en-US"/>
                      </w:rPr>
                    </m:ctrlPr>
                  </m:dPr>
                  <m:e>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T</m:t>
                        </m:r>
                      </m:e>
                      <m:sub>
                        <m:r>
                          <w:rPr>
                            <w:rFonts w:ascii="Cambria Math"/>
                            <w:color w:val="000000" w:themeColor="text1"/>
                            <w:sz w:val="24"/>
                            <w:szCs w:val="24"/>
                            <w:lang w:val="en-US"/>
                          </w:rPr>
                          <m:t>1</m:t>
                        </m:r>
                      </m:sub>
                    </m:sSub>
                    <m:r>
                      <w:rPr>
                        <w:rFonts w:ascii="Cambria Math"/>
                        <w:color w:val="000000" w:themeColor="text1"/>
                        <w:sz w:val="24"/>
                        <w:szCs w:val="24"/>
                        <w:lang w:val="en-US"/>
                      </w:rPr>
                      <m:t>-</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T</m:t>
                        </m:r>
                      </m:e>
                      <m:sub>
                        <m:r>
                          <w:rPr>
                            <w:rFonts w:ascii="Cambria Math"/>
                            <w:color w:val="000000" w:themeColor="text1"/>
                            <w:sz w:val="24"/>
                            <w:szCs w:val="24"/>
                            <w:lang w:val="en-US"/>
                          </w:rPr>
                          <m:t>0</m:t>
                        </m:r>
                      </m:sub>
                    </m:sSub>
                  </m:e>
                </m:d>
              </m:oMath>
            </m:oMathPara>
          </w:p>
          <w:p w14:paraId="4B681BB5" w14:textId="77777777" w:rsidR="00217C22" w:rsidRPr="00606D97" w:rsidRDefault="00217C22" w:rsidP="00B5414D">
            <w:pPr>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где:</w:t>
            </w:r>
            <m:oMath>
              <m:r>
                <w:rPr>
                  <w:rFonts w:ascii="Cambria Math" w:hAnsi="Cambria Math"/>
                  <w:color w:val="000000" w:themeColor="text1"/>
                  <w:sz w:val="24"/>
                  <w:szCs w:val="24"/>
                </w:rPr>
                <m:t xml:space="preserve"> </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Sub>
            </m:oMath>
            <w:r w:rsidRPr="00606D97">
              <w:rPr>
                <w:rFonts w:asciiTheme="minorHAnsi" w:hAnsiTheme="minorHAnsi"/>
                <w:color w:val="000000" w:themeColor="text1"/>
                <w:sz w:val="24"/>
                <w:szCs w:val="24"/>
              </w:rPr>
              <w:t xml:space="preserve"> - безрисковая ставка доходности в процентах годовых;  </w:t>
            </w:r>
            <w:r w:rsidRPr="00606D97">
              <w:rPr>
                <w:rFonts w:asciiTheme="minorHAnsi" w:hAnsiTheme="minorHAnsi"/>
                <w:color w:val="000000" w:themeColor="text1"/>
                <w:sz w:val="24"/>
                <w:szCs w:val="24"/>
              </w:rPr>
              <w:br/>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T</m:t>
                  </m:r>
                </m:e>
                <m:sub>
                  <m:r>
                    <m:rPr>
                      <m:sty m:val="p"/>
                    </m:rPr>
                    <w:rPr>
                      <w:rFonts w:ascii="Cambria Math" w:hAnsi="Cambria Math"/>
                      <w:color w:val="000000" w:themeColor="text1"/>
                      <w:sz w:val="24"/>
                      <w:szCs w:val="24"/>
                    </w:rPr>
                    <m:t>1</m:t>
                  </m:r>
                </m:sub>
              </m:sSub>
            </m:oMath>
            <w:r w:rsidRPr="00606D97">
              <w:rPr>
                <w:rFonts w:asciiTheme="minorHAnsi" w:hAnsiTheme="minorHAnsi"/>
                <w:color w:val="000000" w:themeColor="text1"/>
                <w:sz w:val="24"/>
                <w:szCs w:val="24"/>
              </w:rPr>
              <w:t xml:space="preserve"> –дата определения справедливой стоимости;</w:t>
            </w:r>
          </w:p>
          <w:p w14:paraId="73FBC7EA" w14:textId="77777777" w:rsidR="00217C22" w:rsidRPr="00606D97" w:rsidRDefault="00A3154D" w:rsidP="00B5414D">
            <w:pPr>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T</m:t>
                  </m:r>
                </m:e>
                <m:sub>
                  <m:r>
                    <m:rPr>
                      <m:sty m:val="p"/>
                    </m:rPr>
                    <w:rPr>
                      <w:rFonts w:ascii="Cambria Math" w:hAnsi="Cambria Math"/>
                      <w:color w:val="000000" w:themeColor="text1"/>
                      <w:sz w:val="24"/>
                      <w:szCs w:val="24"/>
                    </w:rPr>
                    <m:t>0</m:t>
                  </m:r>
                </m:sub>
              </m:sSub>
            </m:oMath>
            <w:r w:rsidR="00217C22" w:rsidRPr="00606D97">
              <w:rPr>
                <w:rFonts w:asciiTheme="minorHAnsi" w:hAnsiTheme="minorHAnsi"/>
                <w:color w:val="000000" w:themeColor="text1"/>
                <w:sz w:val="24"/>
                <w:szCs w:val="24"/>
              </w:rPr>
              <w:t xml:space="preserve"> – предыдущая дата определения справедливой стоимости;</w:t>
            </w:r>
          </w:p>
          <w:p w14:paraId="1D31620F" w14:textId="77777777" w:rsidR="00217C22" w:rsidRPr="00606D97" w:rsidRDefault="00217C22" w:rsidP="00B5414D">
            <w:pPr>
              <w:jc w:val="both"/>
              <w:rPr>
                <w:rFonts w:asciiTheme="minorHAnsi" w:hAnsiTheme="minorHAnsi"/>
                <w:color w:val="000000" w:themeColor="text1"/>
                <w:sz w:val="24"/>
                <w:szCs w:val="24"/>
              </w:rPr>
            </w:pPr>
            <w:r w:rsidRPr="00606D97">
              <w:rPr>
                <w:rFonts w:asciiTheme="minorHAnsi" w:hAnsiTheme="minorHAnsi"/>
                <w:color w:val="000000" w:themeColor="text1"/>
                <w:sz w:val="24"/>
                <w:szCs w:val="24"/>
                <w:lang w:val="en-US"/>
              </w:rPr>
              <w:t>D</w:t>
            </w:r>
            <w:r w:rsidRPr="00606D97">
              <w:rPr>
                <w:rFonts w:asciiTheme="minorHAnsi" w:hAnsiTheme="minorHAnsi"/>
                <w:color w:val="000000" w:themeColor="text1"/>
                <w:sz w:val="24"/>
                <w:szCs w:val="24"/>
              </w:rPr>
              <w:t xml:space="preserve"> – 365 или 366 для високосного года.</w:t>
            </w:r>
          </w:p>
          <w:p w14:paraId="0A8B8B48" w14:textId="77777777" w:rsidR="00217C22" w:rsidRPr="00606D97" w:rsidRDefault="00217C22" w:rsidP="00B5414D">
            <w:pPr>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lastRenderedPageBreak/>
              <w:t>Безрисковая ставка доходности – ставка, определенная в соответствии со значением кривой бескупонной доходности (ставка КБД) государственных ценных бумаг на интервале в один год. В расчете используются:</w:t>
            </w:r>
          </w:p>
          <w:p w14:paraId="266AF49E" w14:textId="77777777" w:rsidR="00217C22" w:rsidRPr="00606D97" w:rsidRDefault="00217C22" w:rsidP="00217C22">
            <w:pPr>
              <w:pStyle w:val="ac"/>
              <w:numPr>
                <w:ilvl w:val="0"/>
                <w:numId w:val="43"/>
              </w:numPr>
              <w:spacing w:after="0"/>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методика расчёта кривой бескупонной доходности государственных облигаций, определенная Московской биржей;</w:t>
            </w:r>
          </w:p>
          <w:p w14:paraId="7037125C" w14:textId="77777777" w:rsidR="00217C22" w:rsidRPr="00606D97" w:rsidRDefault="00217C22" w:rsidP="00217C22">
            <w:pPr>
              <w:pStyle w:val="ac"/>
              <w:numPr>
                <w:ilvl w:val="0"/>
                <w:numId w:val="43"/>
              </w:numPr>
              <w:spacing w:after="0"/>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динамические параметры G-кривой по состоянию на каждый торговый день, публикуемые на официальном сайте Московской биржи.</w:t>
            </w:r>
          </w:p>
          <w:p w14:paraId="0BC83FC6" w14:textId="77777777" w:rsidR="00217C22" w:rsidRPr="00606D97" w:rsidRDefault="00217C22" w:rsidP="00B5414D">
            <w:pPr>
              <w:ind w:firstLine="360"/>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Ставка КБД рассчитывается без промежуточных округлений с точностью до 2 знаков после запятой (в процентном выражении).</w:t>
            </w:r>
          </w:p>
          <w:p w14:paraId="1C433538" w14:textId="77777777" w:rsidR="00217C22" w:rsidRPr="00606D97" w:rsidRDefault="00217C22" w:rsidP="00B5414D">
            <w:pPr>
              <w:rPr>
                <w:color w:val="000000" w:themeColor="text1"/>
                <w:sz w:val="24"/>
                <w:szCs w:val="24"/>
              </w:rPr>
            </w:pPr>
          </w:p>
          <w:p w14:paraId="595D7837" w14:textId="77777777" w:rsidR="00217C22" w:rsidRPr="00606D97" w:rsidRDefault="00217C22" w:rsidP="00B5414D">
            <w:pPr>
              <w:jc w:val="both"/>
              <w:rPr>
                <w:color w:val="000000" w:themeColor="text1"/>
                <w:sz w:val="24"/>
                <w:szCs w:val="24"/>
              </w:rPr>
            </w:pPr>
            <m:oMathPara>
              <m:oMath>
                <m:r>
                  <m:rPr>
                    <m:sty m:val="p"/>
                  </m:rPr>
                  <w:rPr>
                    <w:rFonts w:ascii="Cambria Math" w:hint="eastAsia"/>
                    <w:color w:val="000000" w:themeColor="text1"/>
                    <w:sz w:val="24"/>
                    <w:szCs w:val="24"/>
                  </w:rPr>
                  <m:t>β</m:t>
                </m:r>
                <m:r>
                  <m:rPr>
                    <m:sty m:val="p"/>
                  </m:rPr>
                  <w:rPr>
                    <w:rFonts w:ascii="Cambria Math"/>
                    <w:color w:val="000000" w:themeColor="text1"/>
                    <w:sz w:val="24"/>
                    <w:szCs w:val="24"/>
                  </w:rPr>
                  <m:t>=</m:t>
                </m:r>
                <m:f>
                  <m:fPr>
                    <m:ctrlPr>
                      <w:rPr>
                        <w:rFonts w:ascii="Cambria Math" w:hAnsi="Cambria Math"/>
                        <w:color w:val="000000" w:themeColor="text1"/>
                        <w:sz w:val="24"/>
                        <w:szCs w:val="24"/>
                      </w:rPr>
                    </m:ctrlPr>
                  </m:fPr>
                  <m:num>
                    <m:r>
                      <m:rPr>
                        <m:sty m:val="p"/>
                      </m:rPr>
                      <w:rPr>
                        <w:rFonts w:ascii="Cambria Math"/>
                        <w:color w:val="000000" w:themeColor="text1"/>
                        <w:sz w:val="24"/>
                        <w:szCs w:val="24"/>
                      </w:rPr>
                      <m:t xml:space="preserve">Covariance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a</m:t>
                            </m:r>
                          </m:sub>
                        </m:sSub>
                        <m:r>
                          <m:rPr>
                            <m:sty m:val="p"/>
                          </m:rPr>
                          <w:rPr>
                            <w:rFonts w:ascii="Cambria Math"/>
                            <w:color w:val="000000" w:themeColor="text1"/>
                            <w:sz w:val="24"/>
                            <w:szCs w:val="24"/>
                          </w:rPr>
                          <m:t xml:space="preserve">, </m:t>
                        </m:r>
                        <m:sSub>
                          <m:sSubPr>
                            <m:ctrlPr>
                              <w:rPr>
                                <w:rFonts w:ascii="Cambria Math" w:hAnsi="Cambria Math"/>
                                <w:color w:val="000000" w:themeColor="text1"/>
                                <w:sz w:val="24"/>
                                <w:szCs w:val="24"/>
                              </w:rPr>
                            </m:ctrlPr>
                          </m:sSubPr>
                          <m:e>
                            <m:r>
                              <m:rPr>
                                <m:sty m:val="p"/>
                              </m:rPr>
                              <w:rPr>
                                <w:rFonts w:ascii="Cambria Math"/>
                                <w:color w:val="000000" w:themeColor="text1"/>
                                <w:sz w:val="24"/>
                                <w:szCs w:val="24"/>
                              </w:rPr>
                              <m:t xml:space="preserve"> R</m:t>
                            </m:r>
                          </m:e>
                          <m:sub>
                            <m:r>
                              <m:rPr>
                                <m:sty m:val="p"/>
                              </m:rPr>
                              <w:rPr>
                                <w:rFonts w:ascii="Cambria Math"/>
                                <w:color w:val="000000" w:themeColor="text1"/>
                                <w:sz w:val="24"/>
                                <w:szCs w:val="24"/>
                              </w:rPr>
                              <m:t>m</m:t>
                            </m:r>
                          </m:sub>
                        </m:sSub>
                      </m:e>
                    </m:d>
                  </m:num>
                  <m:den>
                    <m:r>
                      <m:rPr>
                        <m:sty m:val="p"/>
                      </m:rPr>
                      <w:rPr>
                        <w:rFonts w:ascii="Cambria Math"/>
                        <w:color w:val="000000" w:themeColor="text1"/>
                        <w:sz w:val="24"/>
                        <w:szCs w:val="24"/>
                      </w:rPr>
                      <m:t xml:space="preserve">Variance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e>
                    </m:d>
                  </m:den>
                </m:f>
              </m:oMath>
            </m:oMathPara>
          </w:p>
          <w:p w14:paraId="71D9ABC5" w14:textId="77777777" w:rsidR="00217C22" w:rsidRPr="00606D97" w:rsidRDefault="00A3154D" w:rsidP="00B5414D">
            <w:pPr>
              <w:jc w:val="both"/>
              <w:rPr>
                <w:color w:val="000000" w:themeColor="text1"/>
                <w:sz w:val="24"/>
                <w:szCs w:val="24"/>
              </w:rPr>
            </w:pPr>
            <m:oMathPara>
              <m:oMath>
                <m:sSub>
                  <m:sSubPr>
                    <m:ctrlPr>
                      <w:rPr>
                        <w:rFonts w:ascii="Cambria Math" w:hAnsi="Cambria Math"/>
                        <w:color w:val="000000" w:themeColor="text1"/>
                        <w:sz w:val="24"/>
                        <w:szCs w:val="24"/>
                      </w:rPr>
                    </m:ctrlPr>
                  </m:sSub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a</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Pa</m:t>
                            </m:r>
                          </m:e>
                          <m:sub>
                            <m:r>
                              <m:rPr>
                                <m:sty m:val="p"/>
                              </m:rPr>
                              <w:rPr>
                                <w:rFonts w:ascii="Cambria Math"/>
                                <w:color w:val="000000" w:themeColor="text1"/>
                                <w:sz w:val="24"/>
                                <w:szCs w:val="24"/>
                              </w:rPr>
                              <m:t>i</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Pa</m:t>
                            </m:r>
                          </m:e>
                          <m:sub>
                            <m:r>
                              <m:rPr>
                                <m:sty m:val="p"/>
                              </m:rPr>
                              <w:rPr>
                                <w:rFonts w:ascii="Cambria Math"/>
                                <w:color w:val="000000" w:themeColor="text1"/>
                                <w:sz w:val="24"/>
                                <w:szCs w:val="24"/>
                              </w:rPr>
                              <m:t>i</m:t>
                            </m:r>
                            <m:r>
                              <m:rPr>
                                <m:sty m:val="p"/>
                              </m:rPr>
                              <w:rPr>
                                <w:rFonts w:ascii="Cambria Math"/>
                                <w:color w:val="000000" w:themeColor="text1"/>
                                <w:sz w:val="24"/>
                                <w:szCs w:val="24"/>
                              </w:rPr>
                              <m:t>-</m:t>
                            </m:r>
                            <m:r>
                              <m:rPr>
                                <m:sty m:val="p"/>
                              </m:rPr>
                              <w:rPr>
                                <w:rFonts w:ascii="Cambria Math"/>
                                <w:color w:val="000000" w:themeColor="text1"/>
                                <w:sz w:val="24"/>
                                <w:szCs w:val="24"/>
                              </w:rPr>
                              <m:t>1</m:t>
                            </m:r>
                          </m:sub>
                        </m:sSub>
                      </m:den>
                    </m:f>
                    <m:r>
                      <m:rPr>
                        <m:sty m:val="p"/>
                      </m:rPr>
                      <w:rPr>
                        <w:rFonts w:ascii="Cambria Math"/>
                        <w:color w:val="000000" w:themeColor="text1"/>
                        <w:sz w:val="24"/>
                        <w:szCs w:val="24"/>
                      </w:rPr>
                      <m:t>-</m:t>
                    </m:r>
                    <m:r>
                      <m:rPr>
                        <m:sty m:val="p"/>
                      </m:rPr>
                      <w:rPr>
                        <w:rFonts w:ascii="Cambria Math"/>
                        <w:color w:val="000000" w:themeColor="text1"/>
                        <w:sz w:val="24"/>
                        <w:szCs w:val="24"/>
                      </w:rPr>
                      <m:t>1,  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i</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i</m:t>
                        </m:r>
                        <m:r>
                          <m:rPr>
                            <m:sty m:val="p"/>
                          </m:rPr>
                          <w:rPr>
                            <w:rFonts w:ascii="Cambria Math"/>
                            <w:color w:val="000000" w:themeColor="text1"/>
                            <w:sz w:val="24"/>
                            <w:szCs w:val="24"/>
                          </w:rPr>
                          <m:t>-</m:t>
                        </m:r>
                        <m:r>
                          <m:rPr>
                            <m:sty m:val="p"/>
                          </m:rPr>
                          <w:rPr>
                            <w:rFonts w:ascii="Cambria Math"/>
                            <w:color w:val="000000" w:themeColor="text1"/>
                            <w:sz w:val="24"/>
                            <w:szCs w:val="24"/>
                          </w:rPr>
                          <m:t>1</m:t>
                        </m:r>
                      </m:sub>
                    </m:sSub>
                  </m:den>
                </m:f>
                <m:r>
                  <m:rPr>
                    <m:sty m:val="p"/>
                  </m:rPr>
                  <w:rPr>
                    <w:rFonts w:ascii="Cambria Math"/>
                    <w:color w:val="000000" w:themeColor="text1"/>
                    <w:sz w:val="24"/>
                    <w:szCs w:val="24"/>
                  </w:rPr>
                  <m:t>-</m:t>
                </m:r>
                <m:r>
                  <m:rPr>
                    <m:sty m:val="p"/>
                  </m:rPr>
                  <w:rPr>
                    <w:rFonts w:ascii="Cambria Math"/>
                    <w:color w:val="000000" w:themeColor="text1"/>
                    <w:sz w:val="24"/>
                    <w:szCs w:val="24"/>
                  </w:rPr>
                  <m:t xml:space="preserve">1 </m:t>
                </m:r>
              </m:oMath>
            </m:oMathPara>
          </w:p>
          <w:p w14:paraId="469FA3F2" w14:textId="77777777" w:rsidR="00217C22" w:rsidRPr="00606D97" w:rsidRDefault="00A3154D"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a</m:t>
                  </m:r>
                </m:sub>
              </m:sSub>
            </m:oMath>
            <w:r w:rsidR="00217C22" w:rsidRPr="00606D97">
              <w:rPr>
                <w:rFonts w:asciiTheme="minorHAnsi" w:hAnsiTheme="minorHAnsi"/>
                <w:color w:val="000000" w:themeColor="text1"/>
                <w:sz w:val="24"/>
                <w:szCs w:val="24"/>
              </w:rPr>
              <w:t xml:space="preserve"> - доходность актива;</w:t>
            </w:r>
          </w:p>
          <w:p w14:paraId="75614CA8" w14:textId="77777777" w:rsidR="00217C22" w:rsidRPr="00606D97" w:rsidRDefault="00A3154D"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Pa</m:t>
                  </m:r>
                </m:e>
                <m:sub>
                  <m:r>
                    <m:rPr>
                      <m:sty m:val="p"/>
                    </m:rPr>
                    <w:rPr>
                      <w:rFonts w:ascii="Cambria Math" w:hAnsi="Cambria Math"/>
                      <w:color w:val="000000" w:themeColor="text1"/>
                      <w:sz w:val="24"/>
                      <w:szCs w:val="24"/>
                    </w:rPr>
                    <m:t>i</m:t>
                  </m:r>
                </m:sub>
              </m:sSub>
            </m:oMath>
            <w:r w:rsidR="00217C22" w:rsidRPr="00606D97">
              <w:rPr>
                <w:rFonts w:asciiTheme="minorHAnsi" w:hAnsiTheme="minorHAnsi"/>
                <w:color w:val="000000" w:themeColor="text1"/>
                <w:sz w:val="24"/>
                <w:szCs w:val="24"/>
              </w:rPr>
              <w:t xml:space="preserve"> – цена закрытия актива на дату </w:t>
            </w:r>
            <m:oMath>
              <m:r>
                <m:rPr>
                  <m:sty m:val="p"/>
                </m:rPr>
                <w:rPr>
                  <w:rFonts w:ascii="Cambria Math" w:hAnsi="Cambria Math"/>
                  <w:color w:val="000000" w:themeColor="text1"/>
                  <w:sz w:val="24"/>
                  <w:szCs w:val="24"/>
                </w:rPr>
                <m:t>i</m:t>
              </m:r>
            </m:oMath>
            <w:r w:rsidR="00217C22" w:rsidRPr="00606D97">
              <w:rPr>
                <w:rFonts w:asciiTheme="minorHAnsi" w:hAnsiTheme="minorHAnsi"/>
                <w:color w:val="000000" w:themeColor="text1"/>
                <w:sz w:val="24"/>
                <w:szCs w:val="24"/>
              </w:rPr>
              <w:t>;</w:t>
            </w:r>
          </w:p>
          <w:p w14:paraId="30C6CFC1" w14:textId="77777777" w:rsidR="00217C22" w:rsidRPr="00606D97" w:rsidRDefault="00A3154D"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Pa</m:t>
                  </m:r>
                </m:e>
                <m:sub>
                  <m:r>
                    <m:rPr>
                      <m:sty m:val="p"/>
                    </m:rPr>
                    <w:rPr>
                      <w:rFonts w:ascii="Cambria Math" w:hAnsi="Cambria Math"/>
                      <w:color w:val="000000" w:themeColor="text1"/>
                      <w:sz w:val="24"/>
                      <w:szCs w:val="24"/>
                    </w:rPr>
                    <m:t>i-1</m:t>
                  </m:r>
                </m:sub>
              </m:sSub>
            </m:oMath>
            <w:r w:rsidR="00217C22" w:rsidRPr="00606D97">
              <w:rPr>
                <w:rFonts w:asciiTheme="minorHAnsi" w:hAnsiTheme="minorHAnsi"/>
                <w:color w:val="000000" w:themeColor="text1"/>
                <w:sz w:val="24"/>
                <w:szCs w:val="24"/>
              </w:rPr>
              <w:t xml:space="preserve"> – предыдущая цена закрытия актива;</w:t>
            </w:r>
          </w:p>
          <w:p w14:paraId="561CE95E" w14:textId="77777777" w:rsidR="00217C22" w:rsidRPr="00606D97" w:rsidRDefault="00A3154D"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00217C22" w:rsidRPr="00606D97">
              <w:rPr>
                <w:rFonts w:asciiTheme="minorHAnsi" w:hAnsiTheme="minorHAnsi"/>
                <w:color w:val="000000" w:themeColor="text1"/>
                <w:sz w:val="24"/>
                <w:szCs w:val="24"/>
              </w:rPr>
              <w:t xml:space="preserve"> - доходность рыночного индикатора;</w:t>
            </w:r>
          </w:p>
          <w:p w14:paraId="2E319537" w14:textId="77777777" w:rsidR="00217C22" w:rsidRPr="00606D97" w:rsidRDefault="00A3154D"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i</m:t>
                  </m:r>
                </m:sub>
              </m:sSub>
            </m:oMath>
            <w:r w:rsidR="00217C22" w:rsidRPr="00606D97">
              <w:rPr>
                <w:rFonts w:asciiTheme="minorHAnsi" w:hAnsiTheme="minorHAnsi"/>
                <w:color w:val="000000" w:themeColor="text1"/>
                <w:sz w:val="24"/>
                <w:szCs w:val="24"/>
              </w:rPr>
              <w:t xml:space="preserve"> – значение рыночного индикатора на дату </w:t>
            </w:r>
            <m:oMath>
              <m:r>
                <m:rPr>
                  <m:sty m:val="p"/>
                </m:rPr>
                <w:rPr>
                  <w:rFonts w:ascii="Cambria Math" w:hAnsi="Cambria Math"/>
                  <w:color w:val="000000" w:themeColor="text1"/>
                  <w:sz w:val="24"/>
                  <w:szCs w:val="24"/>
                </w:rPr>
                <m:t>i</m:t>
              </m:r>
            </m:oMath>
            <w:r w:rsidR="00217C22" w:rsidRPr="00606D97">
              <w:rPr>
                <w:rFonts w:asciiTheme="minorHAnsi" w:hAnsiTheme="minorHAnsi"/>
                <w:color w:val="000000" w:themeColor="text1"/>
                <w:sz w:val="24"/>
                <w:szCs w:val="24"/>
              </w:rPr>
              <w:t>;</w:t>
            </w:r>
          </w:p>
          <w:p w14:paraId="3F361F32" w14:textId="77777777" w:rsidR="00217C22" w:rsidRPr="00606D97" w:rsidRDefault="00A3154D"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i-1</m:t>
                  </m:r>
                </m:sub>
              </m:sSub>
            </m:oMath>
            <w:r w:rsidR="00217C22" w:rsidRPr="00606D97">
              <w:rPr>
                <w:rFonts w:asciiTheme="minorHAnsi" w:hAnsiTheme="minorHAnsi"/>
                <w:color w:val="000000" w:themeColor="text1"/>
                <w:sz w:val="24"/>
                <w:szCs w:val="24"/>
              </w:rPr>
              <w:t xml:space="preserve"> – предыдущее значение рыночного индикатора;</w:t>
            </w:r>
          </w:p>
          <w:p w14:paraId="1A578E31" w14:textId="77777777" w:rsidR="00217C22" w:rsidRPr="00606D97" w:rsidRDefault="00217C22" w:rsidP="00B5414D">
            <w:pPr>
              <w:spacing w:after="0"/>
              <w:jc w:val="both"/>
              <w:rPr>
                <w:rFonts w:asciiTheme="minorHAnsi" w:hAnsiTheme="minorHAnsi"/>
                <w:color w:val="000000" w:themeColor="text1"/>
                <w:sz w:val="24"/>
                <w:szCs w:val="24"/>
              </w:rPr>
            </w:pPr>
            <m:oMath>
              <m:r>
                <m:rPr>
                  <m:sty m:val="p"/>
                </m:rPr>
                <w:rPr>
                  <w:rFonts w:ascii="Cambria Math"/>
                  <w:color w:val="000000" w:themeColor="text1"/>
                  <w:sz w:val="24"/>
                  <w:szCs w:val="24"/>
                </w:rPr>
                <m:t>i=1</m:t>
              </m:r>
              <m:r>
                <m:rPr>
                  <m:sty m:val="p"/>
                </m:rPr>
                <w:rPr>
                  <w:rFonts w:ascii="Cambria Math" w:hint="eastAsia"/>
                  <w:color w:val="000000" w:themeColor="text1"/>
                  <w:sz w:val="24"/>
                  <w:szCs w:val="24"/>
                </w:rPr>
                <m:t>…</m:t>
              </m:r>
              <m:r>
                <m:rPr>
                  <m:sty m:val="p"/>
                </m:rPr>
                <w:rPr>
                  <w:rFonts w:ascii="Cambria Math"/>
                  <w:color w:val="000000" w:themeColor="text1"/>
                  <w:sz w:val="24"/>
                  <w:szCs w:val="24"/>
                </w:rPr>
                <m:t>N</m:t>
              </m:r>
            </m:oMath>
            <w:r w:rsidRPr="00606D97">
              <w:rPr>
                <w:color w:val="000000" w:themeColor="text1"/>
                <w:sz w:val="24"/>
                <w:szCs w:val="24"/>
              </w:rPr>
              <w:t xml:space="preserve">, торговые дни, предшествующие дате определения справедливой стоимости, при этом </w:t>
            </w:r>
            <w:r w:rsidRPr="00606D97">
              <w:rPr>
                <w:color w:val="000000" w:themeColor="text1"/>
                <w:sz w:val="24"/>
                <w:szCs w:val="24"/>
                <w:lang w:val="en-US"/>
              </w:rPr>
              <w:t>N</w:t>
            </w:r>
            <w:r w:rsidRPr="00606D97">
              <w:rPr>
                <w:color w:val="000000" w:themeColor="text1"/>
                <w:sz w:val="24"/>
                <w:szCs w:val="24"/>
              </w:rPr>
              <w:t xml:space="preserve"> меньше или равняется 45, так как   для расчета доходности актива и рыночного индикатора, </w:t>
            </w:r>
            <w:r w:rsidRPr="00606D97">
              <w:rPr>
                <w:rFonts w:asciiTheme="minorHAnsi" w:hAnsiTheme="minorHAnsi"/>
                <w:color w:val="000000" w:themeColor="text1"/>
                <w:sz w:val="24"/>
                <w:szCs w:val="24"/>
              </w:rPr>
              <w:t>используются значения цены закрытия и рыночного индикатора за последние 45 торговых дней, предшествующие дате определения справедливой стоимости.</w:t>
            </w:r>
          </w:p>
          <w:p w14:paraId="2BF6BD27"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lastRenderedPageBreak/>
              <w:t>Бета коэффициент рассчитывается на дату, предшествующую дате определения справедливой стоимости. При этом дата расчета Бета коэффициента должна являться торговым днем.</w:t>
            </w:r>
          </w:p>
          <w:p w14:paraId="33C3425B"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использовании модели CAPM в целях расчета бета коэффициента применяются значения цен закрытия на Московской Бирже.</w:t>
            </w:r>
          </w:p>
          <w:p w14:paraId="64D577F2" w14:textId="77777777" w:rsidR="00217C22" w:rsidRPr="00606D97" w:rsidRDefault="00217C22" w:rsidP="00B5414D">
            <w:pPr>
              <w:spacing w:after="0"/>
              <w:ind w:firstLine="757"/>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Полученное значение бета коэффициента округляется по правилам математического округления до пяти десятичных знаков.</w:t>
            </w:r>
          </w:p>
          <w:p w14:paraId="6C67656A" w14:textId="77777777" w:rsidR="00217C22" w:rsidRPr="00606D97" w:rsidRDefault="00217C22" w:rsidP="00B5414D">
            <w:pPr>
              <w:spacing w:after="0"/>
              <w:ind w:left="757"/>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 xml:space="preserve">Показатели </w:t>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a</m:t>
                  </m:r>
                </m:sub>
              </m:sSub>
            </m:oMath>
            <w:r w:rsidRPr="00606D97">
              <w:rPr>
                <w:rFonts w:asciiTheme="minorHAnsi" w:hAnsiTheme="minorHAnsi"/>
                <w:color w:val="000000" w:themeColor="text1"/>
                <w:sz w:val="24"/>
                <w:szCs w:val="24"/>
              </w:rPr>
              <w:t xml:space="preserve">, </w:t>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Pr="00606D97">
              <w:rPr>
                <w:rFonts w:asciiTheme="minorHAnsi" w:hAnsiTheme="minorHAnsi"/>
                <w:color w:val="000000" w:themeColor="text1"/>
                <w:sz w:val="24"/>
                <w:szCs w:val="24"/>
              </w:rPr>
              <w:t xml:space="preserve"> рассчитываются без промежуточных округлений.</w:t>
            </w:r>
          </w:p>
          <w:p w14:paraId="55AA7FEE" w14:textId="77777777" w:rsidR="00217C22" w:rsidRPr="00606D97" w:rsidRDefault="00217C22" w:rsidP="00B5414D">
            <w:pPr>
              <w:spacing w:after="0"/>
              <w:rPr>
                <w:rFonts w:asciiTheme="minorHAnsi" w:hAnsiTheme="minorHAnsi"/>
                <w:color w:val="000000" w:themeColor="text1"/>
                <w:sz w:val="24"/>
                <w:szCs w:val="24"/>
              </w:rPr>
            </w:pPr>
          </w:p>
          <w:p w14:paraId="08FAA102" w14:textId="77777777" w:rsidR="00217C22" w:rsidRPr="00606D97" w:rsidRDefault="00217C22" w:rsidP="00B5414D">
            <w:pPr>
              <w:spacing w:after="0"/>
              <w:jc w:val="both"/>
              <w:rPr>
                <w:rFonts w:asciiTheme="minorHAnsi" w:hAnsiTheme="minorHAnsi"/>
                <w:b/>
                <w:bCs/>
                <w:color w:val="000000" w:themeColor="text1"/>
                <w:sz w:val="24"/>
                <w:szCs w:val="24"/>
              </w:rPr>
            </w:pPr>
            <w:r w:rsidRPr="00606D97">
              <w:rPr>
                <w:rFonts w:asciiTheme="minorHAnsi" w:hAnsiTheme="minorHAnsi"/>
                <w:b/>
                <w:bCs/>
                <w:color w:val="000000" w:themeColor="text1"/>
                <w:sz w:val="24"/>
                <w:szCs w:val="24"/>
              </w:rPr>
              <w:t>Прочие условия:</w:t>
            </w:r>
          </w:p>
          <w:p w14:paraId="11FF9183" w14:textId="77777777" w:rsidR="00217C22" w:rsidRPr="00606D97" w:rsidRDefault="00217C22" w:rsidP="00B5414D">
            <w:pPr>
              <w:spacing w:after="0"/>
              <w:ind w:firstLine="757"/>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Цена закрытия на дату определения справедливой стоимости в модели не учитывается.</w:t>
            </w:r>
          </w:p>
          <w:p w14:paraId="147E0285"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отсутствии цены закрытия в какой-либо торговый день в периоде 45 торговых дней (или в периоде с даты начала обращения ценной бумаги на фондовой бирже до даты определения справедливой стоимости, если этот период меньше 45 торговых дней)   на дату расчета бета коэффициента,  информация о значении рыночного индикатора  и безрисковой ставки за этот торговый день в модели не учитывается.</w:t>
            </w:r>
          </w:p>
          <w:p w14:paraId="41335712"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наличии цены закрытия и отсутствии значения рыночного индикатора в какой-либо торговый день в периоде 45 торговых дней (или в периоде с даты начала обращения ценной бумаги на фондовой бирже до даты определения справедливой стоимости, если этот период меньше 45 торговых дней) на дату расчета бета коэффициента, значение рыночного индикатора  за этот торговый день принимается равным последнему известному.</w:t>
            </w:r>
          </w:p>
          <w:p w14:paraId="69A03490"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отсутствии значения безрисковой ставки на дату расчета бета коэффициента,  её значение за этот день принимается равным последнему известному.</w:t>
            </w:r>
          </w:p>
          <w:p w14:paraId="420D6F26"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С даты возникновения оснований для применения модели CAPM до даты прекращения оснований для её применения используется информация о ценах закрытия и значениях рыночного индикатора  только той биржи, которая определена на дату возникновения оснований для применения модели CAPM.</w:t>
            </w:r>
          </w:p>
          <w:p w14:paraId="186DE1CB" w14:textId="77777777" w:rsidR="00217C22" w:rsidRPr="00606D97" w:rsidRDefault="00217C22" w:rsidP="00B5414D">
            <w:pPr>
              <w:jc w:val="both"/>
              <w:rPr>
                <w:b/>
                <w:color w:val="000000" w:themeColor="text1"/>
                <w:sz w:val="24"/>
                <w:szCs w:val="24"/>
              </w:rPr>
            </w:pPr>
          </w:p>
          <w:p w14:paraId="4A7BEC2E" w14:textId="77777777" w:rsidR="00217C22" w:rsidRPr="00606D97" w:rsidRDefault="00217C22" w:rsidP="00B5414D">
            <w:pPr>
              <w:jc w:val="both"/>
              <w:rPr>
                <w:color w:val="000000" w:themeColor="text1"/>
                <w:sz w:val="24"/>
                <w:szCs w:val="24"/>
              </w:rPr>
            </w:pPr>
            <w:r w:rsidRPr="00606D97">
              <w:rPr>
                <w:b/>
                <w:color w:val="000000" w:themeColor="text1"/>
                <w:sz w:val="24"/>
                <w:szCs w:val="24"/>
              </w:rPr>
              <w:t>II.</w:t>
            </w:r>
            <w:r w:rsidRPr="00606D97">
              <w:rPr>
                <w:color w:val="000000" w:themeColor="text1"/>
                <w:sz w:val="24"/>
                <w:szCs w:val="24"/>
              </w:rPr>
              <w:t xml:space="preserve"> Для определения справедливой стоимости </w:t>
            </w:r>
            <w:r w:rsidRPr="00606D97">
              <w:rPr>
                <w:b/>
                <w:color w:val="000000" w:themeColor="text1"/>
                <w:sz w:val="24"/>
                <w:szCs w:val="24"/>
              </w:rPr>
              <w:t>облигаций российских эмитентов</w:t>
            </w:r>
            <w:r w:rsidRPr="00606D97">
              <w:rPr>
                <w:color w:val="000000" w:themeColor="text1"/>
                <w:sz w:val="24"/>
                <w:szCs w:val="24"/>
              </w:rPr>
              <w:t xml:space="preserve"> </w:t>
            </w:r>
            <w:r w:rsidRPr="00606D97">
              <w:rPr>
                <w:sz w:val="24"/>
                <w:szCs w:val="24"/>
              </w:rPr>
              <w:t>а так же иных</w:t>
            </w:r>
            <w:r w:rsidRPr="00606D97">
              <w:rPr>
                <w:b/>
                <w:sz w:val="24"/>
                <w:szCs w:val="24"/>
              </w:rPr>
              <w:t xml:space="preserve"> облигаций, номинированных в рублях</w:t>
            </w:r>
            <w:r w:rsidRPr="00606D97" w:rsidDel="000A11B1">
              <w:rPr>
                <w:color w:val="000000" w:themeColor="text1"/>
                <w:sz w:val="24"/>
                <w:szCs w:val="24"/>
                <w:lang w:eastAsia="ru-RU"/>
              </w:rPr>
              <w:t xml:space="preserve"> </w:t>
            </w:r>
            <w:r w:rsidRPr="00606D97">
              <w:rPr>
                <w:color w:val="000000" w:themeColor="text1"/>
                <w:sz w:val="24"/>
                <w:szCs w:val="24"/>
              </w:rPr>
              <w:t xml:space="preserve"> используются следующие цены и модели, выбранные в порядке убывания приоритета:</w:t>
            </w:r>
          </w:p>
          <w:p w14:paraId="0F208CD6" w14:textId="77777777" w:rsidR="00217C22" w:rsidRPr="00606D97" w:rsidRDefault="00217C22" w:rsidP="00217C22">
            <w:pPr>
              <w:pStyle w:val="ac"/>
              <w:numPr>
                <w:ilvl w:val="0"/>
                <w:numId w:val="44"/>
              </w:numPr>
              <w:suppressAutoHyphens/>
              <w:autoSpaceDE w:val="0"/>
              <w:spacing w:after="0" w:line="240" w:lineRule="auto"/>
              <w:jc w:val="both"/>
              <w:rPr>
                <w:color w:val="000000" w:themeColor="text1"/>
                <w:sz w:val="24"/>
                <w:szCs w:val="24"/>
              </w:rPr>
            </w:pPr>
            <w:r w:rsidRPr="00606D97">
              <w:rPr>
                <w:color w:val="000000" w:themeColor="text1"/>
                <w:sz w:val="24"/>
                <w:szCs w:val="24"/>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2-го уровня в соответствии с МСФО13  (приоритет отдается ценам, определенным по последней утвержденной методике оценки);</w:t>
            </w:r>
          </w:p>
          <w:p w14:paraId="6EC7A556" w14:textId="77777777" w:rsidR="00217C22" w:rsidRPr="00606D97" w:rsidRDefault="00217C22" w:rsidP="00217C22">
            <w:pPr>
              <w:pStyle w:val="ac"/>
              <w:numPr>
                <w:ilvl w:val="0"/>
                <w:numId w:val="44"/>
              </w:numPr>
              <w:suppressAutoHyphens/>
              <w:autoSpaceDE w:val="0"/>
              <w:spacing w:after="0" w:line="240" w:lineRule="auto"/>
              <w:jc w:val="both"/>
              <w:rPr>
                <w:color w:val="000000" w:themeColor="text1"/>
                <w:sz w:val="24"/>
                <w:szCs w:val="24"/>
              </w:rPr>
            </w:pPr>
            <w:r w:rsidRPr="00606D97">
              <w:rPr>
                <w:color w:val="000000" w:themeColor="text1"/>
                <w:sz w:val="24"/>
                <w:szCs w:val="24"/>
              </w:rPr>
              <w:t>цена закрытия (Last Price) BGN (Bloomberg Generic), раскрываемая информационной системой "Блумберг" (Bloomberg) на дату определения СЧА;</w:t>
            </w:r>
          </w:p>
          <w:p w14:paraId="7C1ECBE6" w14:textId="77777777" w:rsidR="00217C22" w:rsidRPr="00606D97" w:rsidRDefault="00217C22" w:rsidP="00217C22">
            <w:pPr>
              <w:pStyle w:val="ac"/>
              <w:numPr>
                <w:ilvl w:val="0"/>
                <w:numId w:val="44"/>
              </w:numPr>
              <w:suppressAutoHyphens/>
              <w:autoSpaceDE w:val="0"/>
              <w:spacing w:after="0" w:line="240" w:lineRule="auto"/>
              <w:jc w:val="both"/>
              <w:rPr>
                <w:color w:val="000000" w:themeColor="text1"/>
                <w:sz w:val="24"/>
                <w:szCs w:val="24"/>
              </w:rPr>
            </w:pPr>
            <w:r w:rsidRPr="00606D97">
              <w:rPr>
                <w:color w:val="000000" w:themeColor="text1"/>
                <w:sz w:val="24"/>
                <w:szCs w:val="24"/>
              </w:rPr>
              <w:t>цена закрытия (Mid Line)  BVAL (Bloomberg Valuation), раскрываемая информационной системой "Блумберг" (Bloomberg) на дату определения СЧА при условии, что значение показателя Score  по указанной цене не ниже 6;</w:t>
            </w:r>
          </w:p>
          <w:p w14:paraId="448139E7" w14:textId="5BB5EF37" w:rsidR="00217C22" w:rsidRPr="00606D97" w:rsidRDefault="00217C22" w:rsidP="00217C22">
            <w:pPr>
              <w:pStyle w:val="ac"/>
              <w:numPr>
                <w:ilvl w:val="0"/>
                <w:numId w:val="44"/>
              </w:numPr>
              <w:suppressAutoHyphens/>
              <w:autoSpaceDE w:val="0"/>
              <w:spacing w:after="0" w:line="240" w:lineRule="auto"/>
              <w:jc w:val="both"/>
              <w:rPr>
                <w:color w:val="000000" w:themeColor="text1"/>
                <w:sz w:val="24"/>
                <w:szCs w:val="24"/>
              </w:rPr>
            </w:pPr>
            <w:r w:rsidRPr="00606D97">
              <w:rPr>
                <w:color w:val="000000" w:themeColor="text1"/>
                <w:sz w:val="24"/>
                <w:szCs w:val="24"/>
              </w:rPr>
              <w:t xml:space="preserve">модель оценки в соответствии с Приложением </w:t>
            </w:r>
            <w:r w:rsidR="00C71838">
              <w:rPr>
                <w:color w:val="000000" w:themeColor="text1"/>
                <w:sz w:val="24"/>
                <w:szCs w:val="24"/>
              </w:rPr>
              <w:t>30</w:t>
            </w:r>
            <w:r w:rsidRPr="00606D97">
              <w:rPr>
                <w:color w:val="000000" w:themeColor="text1"/>
                <w:sz w:val="24"/>
                <w:szCs w:val="24"/>
              </w:rPr>
              <w:t>.</w:t>
            </w:r>
          </w:p>
          <w:p w14:paraId="522C6FCC" w14:textId="330F8081" w:rsidR="00217C22" w:rsidRDefault="00217C22" w:rsidP="00B5414D">
            <w:pPr>
              <w:autoSpaceDN w:val="0"/>
              <w:adjustRightInd w:val="0"/>
              <w:rPr>
                <w:bCs/>
                <w:color w:val="000000" w:themeColor="text1"/>
                <w:sz w:val="24"/>
                <w:szCs w:val="24"/>
              </w:rPr>
            </w:pPr>
            <w:r w:rsidRPr="00606D97">
              <w:rPr>
                <w:color w:val="000000" w:themeColor="text1"/>
                <w:sz w:val="24"/>
                <w:szCs w:val="24"/>
              </w:rPr>
              <w:t xml:space="preserve"> </w:t>
            </w:r>
            <w:r w:rsidRPr="00606D97">
              <w:rPr>
                <w:b/>
                <w:color w:val="000000" w:themeColor="text1"/>
                <w:sz w:val="24"/>
                <w:szCs w:val="24"/>
                <w:lang w:val="en-US"/>
              </w:rPr>
              <w:t>III</w:t>
            </w:r>
            <w:r w:rsidRPr="00606D97">
              <w:rPr>
                <w:b/>
                <w:color w:val="000000" w:themeColor="text1"/>
                <w:sz w:val="24"/>
                <w:szCs w:val="24"/>
              </w:rPr>
              <w:t xml:space="preserve">. Справедливая стоимость  </w:t>
            </w:r>
          </w:p>
          <w:p w14:paraId="4519B69E" w14:textId="16F3DDE1" w:rsidR="00835CA1" w:rsidRPr="00606D97" w:rsidRDefault="00835CA1" w:rsidP="00B5414D">
            <w:pPr>
              <w:autoSpaceDN w:val="0"/>
              <w:adjustRightInd w:val="0"/>
              <w:rPr>
                <w:bCs/>
                <w:color w:val="000000" w:themeColor="text1"/>
                <w:sz w:val="24"/>
                <w:szCs w:val="24"/>
              </w:rPr>
            </w:pPr>
            <w:r w:rsidRPr="00BE536E">
              <w:rPr>
                <w:b/>
                <w:color w:val="000000" w:themeColor="text1"/>
                <w:sz w:val="24"/>
                <w:szCs w:val="24"/>
              </w:rPr>
              <w:t xml:space="preserve">векселей </w:t>
            </w:r>
            <w:r w:rsidRPr="00BE536E">
              <w:rPr>
                <w:bCs/>
                <w:color w:val="000000" w:themeColor="text1"/>
                <w:sz w:val="24"/>
                <w:szCs w:val="24"/>
              </w:rPr>
              <w:t>– в соответствии с Приложением 2</w:t>
            </w:r>
            <w:r w:rsidR="00802BCD">
              <w:rPr>
                <w:bCs/>
                <w:color w:val="000000" w:themeColor="text1"/>
                <w:sz w:val="24"/>
                <w:szCs w:val="24"/>
              </w:rPr>
              <w:t>5</w:t>
            </w:r>
          </w:p>
          <w:p w14:paraId="0DC9B6C9" w14:textId="77777777" w:rsidR="00217C22" w:rsidRPr="00606D97" w:rsidRDefault="00217C22" w:rsidP="00B5414D">
            <w:pPr>
              <w:jc w:val="both"/>
              <w:rPr>
                <w:color w:val="000000" w:themeColor="text1"/>
                <w:sz w:val="24"/>
                <w:szCs w:val="24"/>
              </w:rPr>
            </w:pPr>
            <w:r w:rsidRPr="00606D97">
              <w:rPr>
                <w:b/>
                <w:color w:val="000000" w:themeColor="text1"/>
                <w:sz w:val="24"/>
                <w:szCs w:val="24"/>
                <w:lang w:val="en-US"/>
              </w:rPr>
              <w:t>VI</w:t>
            </w:r>
            <w:r w:rsidRPr="00606D97">
              <w:rPr>
                <w:b/>
                <w:color w:val="000000" w:themeColor="text1"/>
                <w:sz w:val="24"/>
                <w:szCs w:val="24"/>
              </w:rPr>
              <w:t>. Справедливая стоимость инвестиционного пая (сертификата участия)</w:t>
            </w:r>
            <w:r w:rsidRPr="00606D97">
              <w:rPr>
                <w:color w:val="000000" w:themeColor="text1"/>
                <w:sz w:val="24"/>
                <w:szCs w:val="24"/>
              </w:rPr>
              <w:t xml:space="preserve"> определяется как его расчетная стоимость, раскрытая/ предоставленная управляющей компанией ПИФ/ ипотечного покрытия в сроки, предусмотренные нормативными актами Банка России.</w:t>
            </w:r>
            <w:r w:rsidRPr="00606D97">
              <w:rPr>
                <w:color w:val="000000" w:themeColor="text1"/>
                <w:sz w:val="24"/>
                <w:szCs w:val="24"/>
                <w:lang w:eastAsia="ru-RU"/>
              </w:rPr>
              <w:t xml:space="preserve">  </w:t>
            </w:r>
            <w:r w:rsidRPr="00606D97">
              <w:rPr>
                <w:rFonts w:ascii="Verdana" w:hAnsi="Verdana"/>
                <w:sz w:val="20"/>
                <w:szCs w:val="20"/>
              </w:rPr>
              <w:t>В случае отсутствия раскрытых управляющей компанией данных о расчетной стоимости инвестиционного пая (сертификата участия), применяется 3-й уровень оценки.</w:t>
            </w:r>
          </w:p>
          <w:p w14:paraId="0E75F00D" w14:textId="77777777" w:rsidR="00217C22" w:rsidRPr="00606D97" w:rsidRDefault="00217C22" w:rsidP="00B5414D">
            <w:pPr>
              <w:rPr>
                <w:rFonts w:ascii="Verdana" w:eastAsia="Times New Roman" w:hAnsi="Verdana"/>
                <w:color w:val="000000"/>
                <w:sz w:val="20"/>
                <w:szCs w:val="20"/>
                <w:lang w:eastAsia="ru-RU"/>
              </w:rPr>
            </w:pPr>
            <w:r w:rsidRPr="00606D97">
              <w:rPr>
                <w:b/>
                <w:color w:val="000000" w:themeColor="text1"/>
                <w:sz w:val="24"/>
                <w:szCs w:val="24"/>
                <w:lang w:val="en-US"/>
              </w:rPr>
              <w:t>V</w:t>
            </w:r>
            <w:r w:rsidRPr="00606D97">
              <w:rPr>
                <w:b/>
                <w:color w:val="000000" w:themeColor="text1"/>
                <w:sz w:val="24"/>
                <w:szCs w:val="24"/>
              </w:rPr>
              <w:t xml:space="preserve">. </w:t>
            </w:r>
            <w:r w:rsidRPr="00606D97">
              <w:rPr>
                <w:b/>
                <w:color w:val="000000" w:themeColor="text1"/>
                <w:sz w:val="24"/>
                <w:szCs w:val="24"/>
                <w:lang w:eastAsia="ru-RU"/>
              </w:rPr>
              <w:t>Справедливая стоимость депозитарной расписки</w:t>
            </w:r>
            <w:r w:rsidRPr="00606D97">
              <w:rPr>
                <w:color w:val="000000" w:themeColor="text1"/>
                <w:sz w:val="24"/>
                <w:szCs w:val="24"/>
                <w:lang w:eastAsia="ru-RU"/>
              </w:rPr>
              <w:t xml:space="preserve"> определяется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1-го уровня, </w:t>
            </w:r>
            <w:r w:rsidRPr="00606D97">
              <w:rPr>
                <w:rFonts w:ascii="Verdana" w:hAnsi="Verdana"/>
                <w:sz w:val="20"/>
                <w:szCs w:val="20"/>
              </w:rPr>
              <w:t xml:space="preserve">указанных в </w:t>
            </w:r>
            <w:r w:rsidRPr="00606D97">
              <w:rPr>
                <w:rFonts w:ascii="Verdana" w:hAnsi="Verdana"/>
                <w:sz w:val="20"/>
                <w:szCs w:val="20"/>
              </w:rPr>
              <w:lastRenderedPageBreak/>
              <w:t>настоящих Правилах определения СЧА, с учетом количества ценных бумаг, права на которые подтверждает одна депозитарная расписка.</w:t>
            </w:r>
          </w:p>
        </w:tc>
      </w:tr>
      <w:tr w:rsidR="00217C22" w:rsidRPr="00606D97" w14:paraId="1FC9658C" w14:textId="77777777" w:rsidTr="00B5414D">
        <w:trPr>
          <w:trHeight w:val="1702"/>
        </w:trPr>
        <w:tc>
          <w:tcPr>
            <w:tcW w:w="3176" w:type="dxa"/>
            <w:tcBorders>
              <w:bottom w:val="single" w:sz="4" w:space="0" w:color="auto"/>
            </w:tcBorders>
            <w:shd w:val="clear" w:color="auto" w:fill="auto"/>
          </w:tcPr>
          <w:p w14:paraId="1716A83F" w14:textId="77777777" w:rsidR="00217C22" w:rsidRPr="00606D97" w:rsidRDefault="00217C22" w:rsidP="00B5414D">
            <w:pPr>
              <w:spacing w:after="0"/>
              <w:rPr>
                <w:rFonts w:ascii="Verdana" w:hAnsi="Verdana"/>
                <w:b/>
                <w:sz w:val="18"/>
                <w:szCs w:val="20"/>
              </w:rPr>
            </w:pPr>
            <w:r w:rsidRPr="00606D97">
              <w:rPr>
                <w:b/>
                <w:sz w:val="24"/>
                <w:szCs w:val="24"/>
              </w:rPr>
              <w:lastRenderedPageBreak/>
              <w:t>Ценные бумаги иностранных эмитентов, а так же ценные бумаги российских эмитентов, номинированные в иностранной валюте (за исключением  облигаций внешних облигационных займов Российской Федерации, долговых ценных бумаг иностранных государств и еврооблигаций иностранных эмитентов)</w:t>
            </w:r>
          </w:p>
        </w:tc>
        <w:tc>
          <w:tcPr>
            <w:tcW w:w="10113" w:type="dxa"/>
            <w:tcBorders>
              <w:bottom w:val="single" w:sz="4" w:space="0" w:color="auto"/>
            </w:tcBorders>
            <w:shd w:val="clear" w:color="auto" w:fill="auto"/>
          </w:tcPr>
          <w:p w14:paraId="5B4144DD" w14:textId="77777777" w:rsidR="00217C22" w:rsidRPr="00606D97" w:rsidRDefault="00217C22" w:rsidP="00B5414D">
            <w:pPr>
              <w:rPr>
                <w:b/>
                <w:bCs/>
                <w:color w:val="000000" w:themeColor="text1"/>
                <w:sz w:val="24"/>
                <w:szCs w:val="24"/>
              </w:rPr>
            </w:pPr>
            <w:r w:rsidRPr="00606D97">
              <w:rPr>
                <w:b/>
                <w:bCs/>
                <w:color w:val="000000" w:themeColor="text1"/>
                <w:sz w:val="24"/>
                <w:szCs w:val="24"/>
                <w:lang w:val="en-US"/>
              </w:rPr>
              <w:t>I</w:t>
            </w:r>
            <w:r w:rsidRPr="00606D97">
              <w:rPr>
                <w:b/>
                <w:bCs/>
                <w:color w:val="000000" w:themeColor="text1"/>
                <w:sz w:val="24"/>
                <w:szCs w:val="24"/>
              </w:rPr>
              <w:t>. Справедливая стоимость акций иностранных эмитентов, торгуемых на иностранных фондовых биржах, определяется в соответствии с моделью CAPM с учётом следующих требований:</w:t>
            </w:r>
          </w:p>
          <w:p w14:paraId="71FBB32A" w14:textId="77777777" w:rsidR="00217C22" w:rsidRPr="00606D97" w:rsidRDefault="00217C22" w:rsidP="00B5414D">
            <w:pPr>
              <w:jc w:val="both"/>
              <w:rPr>
                <w:color w:val="000000" w:themeColor="text1"/>
                <w:sz w:val="24"/>
                <w:szCs w:val="24"/>
              </w:rPr>
            </w:pPr>
            <w:r w:rsidRPr="00606D97">
              <w:rPr>
                <w:color w:val="000000" w:themeColor="text1"/>
                <w:sz w:val="24"/>
                <w:szCs w:val="24"/>
              </w:rPr>
              <w:t>1. в качестве рыночного индикатора  используется индекс биржи, на которой определена справедливая цена уровня 1 иерархии справедливой стоимости на дату, предшествующей дате возникновения оснований для применения модели CAPМ;</w:t>
            </w:r>
            <w:r w:rsidRPr="00606D97">
              <w:rPr>
                <w:color w:val="000000" w:themeColor="text1"/>
                <w:sz w:val="24"/>
                <w:szCs w:val="24"/>
              </w:rPr>
              <w:br/>
              <w:t xml:space="preserve">2. в случае, если валюта индекса отличается от валюты оцениваемой акции, расчет производится с учетом курсовой разницы по курсу, определяемому в соответствии с данными Правилами определения стоимости чистых активов; </w:t>
            </w:r>
          </w:p>
          <w:p w14:paraId="60154D23" w14:textId="77777777" w:rsidR="00217C22" w:rsidRPr="00606D97" w:rsidRDefault="00217C22" w:rsidP="00B5414D">
            <w:pPr>
              <w:jc w:val="both"/>
              <w:rPr>
                <w:color w:val="000000" w:themeColor="text1"/>
                <w:sz w:val="24"/>
                <w:szCs w:val="24"/>
              </w:rPr>
            </w:pPr>
            <w:r w:rsidRPr="00606D97">
              <w:rPr>
                <w:color w:val="000000" w:themeColor="text1"/>
                <w:sz w:val="24"/>
                <w:szCs w:val="24"/>
              </w:rPr>
              <w:t xml:space="preserve">3.В качестве безрисковой ставки доходности применяется ставка </w:t>
            </w:r>
            <w:r w:rsidRPr="00606D97">
              <w:rPr>
                <w:b/>
                <w:color w:val="222222"/>
                <w:sz w:val="24"/>
                <w:szCs w:val="24"/>
                <w:shd w:val="clear" w:color="auto" w:fill="FFFFFF"/>
              </w:rPr>
              <w:t xml:space="preserve"> </w:t>
            </w:r>
            <w:r w:rsidRPr="00606D97">
              <w:rPr>
                <w:color w:val="222222"/>
                <w:sz w:val="24"/>
                <w:szCs w:val="24"/>
                <w:shd w:val="clear" w:color="auto" w:fill="FFFFFF"/>
              </w:rPr>
              <w:t>по государственным облигациям страны, которая является «страной риска» оцениваемой акции</w:t>
            </w:r>
            <w:r w:rsidRPr="00606D97">
              <w:rPr>
                <w:color w:val="000000" w:themeColor="text1"/>
                <w:sz w:val="24"/>
                <w:szCs w:val="24"/>
              </w:rPr>
              <w:t>;</w:t>
            </w:r>
          </w:p>
          <w:p w14:paraId="2C3D33B9" w14:textId="77777777" w:rsidR="00217C22" w:rsidRPr="00606D97" w:rsidRDefault="00217C22" w:rsidP="00B5414D">
            <w:pPr>
              <w:jc w:val="both"/>
              <w:rPr>
                <w:color w:val="000000" w:themeColor="text1"/>
                <w:sz w:val="24"/>
                <w:szCs w:val="24"/>
              </w:rPr>
            </w:pPr>
            <w:r w:rsidRPr="00606D97">
              <w:rPr>
                <w:color w:val="000000" w:themeColor="text1"/>
                <w:sz w:val="24"/>
                <w:szCs w:val="24"/>
              </w:rPr>
              <w:t>4. для расчета бета коэффициента применяются значения цен закрытия биржи, на которой определена надлежащая котировка уровня 1 иерархии справедливой стоимости на дату, предшествующей дате возникновения оснований для применения модели CAPМ.</w:t>
            </w:r>
          </w:p>
          <w:p w14:paraId="42F60B49" w14:textId="77777777" w:rsidR="00217C22" w:rsidRPr="00606D97" w:rsidRDefault="00217C22" w:rsidP="00B5414D">
            <w:pPr>
              <w:rPr>
                <w:color w:val="000000" w:themeColor="text1"/>
                <w:sz w:val="24"/>
                <w:szCs w:val="24"/>
                <w:lang w:eastAsia="ru-RU"/>
              </w:rPr>
            </w:pPr>
            <w:r w:rsidRPr="00606D97">
              <w:rPr>
                <w:b/>
                <w:color w:val="000000" w:themeColor="text1"/>
                <w:sz w:val="24"/>
                <w:szCs w:val="24"/>
                <w:lang w:val="en-US" w:eastAsia="ru-RU"/>
              </w:rPr>
              <w:t>II</w:t>
            </w:r>
            <w:r w:rsidRPr="00606D97">
              <w:rPr>
                <w:b/>
                <w:color w:val="000000" w:themeColor="text1"/>
                <w:sz w:val="24"/>
                <w:szCs w:val="24"/>
                <w:lang w:eastAsia="ru-RU"/>
              </w:rPr>
              <w:t xml:space="preserve">. Для определения справедливой стоимости облигаций иностранных эмитентов </w:t>
            </w:r>
            <w:r w:rsidRPr="00606D97">
              <w:rPr>
                <w:color w:val="000000" w:themeColor="text1"/>
                <w:sz w:val="24"/>
                <w:szCs w:val="24"/>
                <w:lang w:eastAsia="ru-RU"/>
              </w:rPr>
              <w:t>используются следующие цены, выбранные в порядке убывания приоритета:</w:t>
            </w:r>
          </w:p>
          <w:p w14:paraId="741BC981" w14:textId="77777777" w:rsidR="00217C22" w:rsidRPr="00606D97" w:rsidRDefault="00217C22" w:rsidP="00B5414D">
            <w:pPr>
              <w:jc w:val="both"/>
              <w:rPr>
                <w:color w:val="000000" w:themeColor="text1"/>
                <w:sz w:val="24"/>
                <w:szCs w:val="24"/>
              </w:rPr>
            </w:pPr>
            <w:r w:rsidRPr="00606D97">
              <w:rPr>
                <w:color w:val="000000" w:themeColor="text1"/>
                <w:sz w:val="24"/>
                <w:szCs w:val="24"/>
              </w:rPr>
              <w:t>1. цена закрытия (Last Price) BGN (Bloomberg Generic), раскрываемая информационной системой "Блумберг" (Bloomberg) на дату определения СЧА;</w:t>
            </w:r>
          </w:p>
          <w:p w14:paraId="690E5FD5" w14:textId="77777777" w:rsidR="00217C22" w:rsidRPr="00606D97" w:rsidRDefault="00217C22" w:rsidP="00B5414D">
            <w:pPr>
              <w:jc w:val="both"/>
              <w:rPr>
                <w:color w:val="000000" w:themeColor="text1"/>
                <w:sz w:val="24"/>
                <w:szCs w:val="24"/>
              </w:rPr>
            </w:pPr>
            <w:r w:rsidRPr="00606D97">
              <w:rPr>
                <w:color w:val="000000" w:themeColor="text1"/>
                <w:sz w:val="24"/>
                <w:szCs w:val="24"/>
              </w:rPr>
              <w:t>2. цена закрытия (Mid Line)  BVAL (Bloomberg Valuation), раскрываемая информационной системой "Блумберг" (Bloomberg) на дату определения СЧА при условии, что значение показателя Score  по указанной цене не ниже 6.</w:t>
            </w:r>
          </w:p>
          <w:p w14:paraId="677F65E3" w14:textId="77777777" w:rsidR="00217C22" w:rsidRPr="00606D97" w:rsidRDefault="00217C22" w:rsidP="00B5414D">
            <w:pPr>
              <w:jc w:val="both"/>
              <w:rPr>
                <w:color w:val="000000" w:themeColor="text1"/>
                <w:sz w:val="24"/>
                <w:szCs w:val="24"/>
              </w:rPr>
            </w:pPr>
            <w:r w:rsidRPr="00606D97">
              <w:rPr>
                <w:b/>
                <w:color w:val="000000" w:themeColor="text1"/>
                <w:sz w:val="24"/>
                <w:szCs w:val="24"/>
                <w:lang w:val="en-US"/>
              </w:rPr>
              <w:lastRenderedPageBreak/>
              <w:t>III</w:t>
            </w:r>
            <w:r w:rsidRPr="00606D97">
              <w:rPr>
                <w:b/>
                <w:color w:val="000000" w:themeColor="text1"/>
                <w:sz w:val="24"/>
                <w:szCs w:val="24"/>
              </w:rPr>
              <w:t>.</w:t>
            </w:r>
            <w:r w:rsidRPr="00606D97">
              <w:rPr>
                <w:color w:val="000000" w:themeColor="text1"/>
                <w:sz w:val="24"/>
                <w:szCs w:val="24"/>
              </w:rPr>
              <w:t xml:space="preserve"> </w:t>
            </w:r>
            <w:r w:rsidRPr="00606D97">
              <w:rPr>
                <w:b/>
                <w:color w:val="000000" w:themeColor="text1"/>
                <w:sz w:val="24"/>
                <w:szCs w:val="24"/>
              </w:rPr>
              <w:t>Справедливая стоимость инвестиционного пая (сертификата участия)</w:t>
            </w:r>
            <w:r w:rsidRPr="00606D97">
              <w:rPr>
                <w:color w:val="000000" w:themeColor="text1"/>
                <w:sz w:val="24"/>
                <w:szCs w:val="24"/>
              </w:rPr>
              <w:t xml:space="preserve"> определяется как его расчетная стоимость на ближайшую дату к расчету СЧА, раскрытая / предоставленная управляющей компанией иностранного инвестиционного фонда в соответствии с требованием законодательства, регулирующего его деятельность.</w:t>
            </w:r>
          </w:p>
          <w:p w14:paraId="1D74AACE" w14:textId="77777777" w:rsidR="00217C22" w:rsidRPr="00606D97" w:rsidRDefault="00217C22" w:rsidP="00B5414D">
            <w:pPr>
              <w:rPr>
                <w:rFonts w:ascii="Verdana" w:hAnsi="Verdana"/>
                <w:sz w:val="20"/>
                <w:szCs w:val="20"/>
              </w:rPr>
            </w:pPr>
            <w:r w:rsidRPr="00606D97">
              <w:rPr>
                <w:color w:val="000000" w:themeColor="text1"/>
                <w:sz w:val="24"/>
                <w:szCs w:val="24"/>
              </w:rPr>
              <w:t xml:space="preserve"> </w:t>
            </w:r>
            <w:r w:rsidRPr="00606D97">
              <w:rPr>
                <w:b/>
                <w:color w:val="000000" w:themeColor="text1"/>
                <w:sz w:val="24"/>
                <w:szCs w:val="24"/>
                <w:lang w:val="en-US"/>
              </w:rPr>
              <w:t>IV</w:t>
            </w:r>
            <w:r w:rsidRPr="00606D97">
              <w:rPr>
                <w:b/>
                <w:color w:val="000000" w:themeColor="text1"/>
                <w:sz w:val="24"/>
                <w:szCs w:val="24"/>
              </w:rPr>
              <w:t xml:space="preserve">. </w:t>
            </w:r>
            <w:r w:rsidRPr="00606D97">
              <w:rPr>
                <w:b/>
                <w:color w:val="000000" w:themeColor="text1"/>
                <w:sz w:val="24"/>
                <w:szCs w:val="24"/>
                <w:lang w:eastAsia="ru-RU"/>
              </w:rPr>
              <w:t>Справедливая стоимость депозитарной расписки</w:t>
            </w:r>
            <w:r w:rsidRPr="00606D97">
              <w:rPr>
                <w:color w:val="000000" w:themeColor="text1"/>
                <w:sz w:val="24"/>
                <w:szCs w:val="24"/>
                <w:lang w:eastAsia="ru-RU"/>
              </w:rPr>
              <w:t xml:space="preserve"> определяется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1-го уровня.</w:t>
            </w:r>
          </w:p>
        </w:tc>
      </w:tr>
      <w:tr w:rsidR="00217C22" w:rsidRPr="00606D97" w14:paraId="01CE3FA2" w14:textId="77777777" w:rsidTr="00B5414D">
        <w:trPr>
          <w:trHeight w:val="70"/>
        </w:trPr>
        <w:tc>
          <w:tcPr>
            <w:tcW w:w="3176" w:type="dxa"/>
            <w:tcBorders>
              <w:bottom w:val="single" w:sz="4" w:space="0" w:color="auto"/>
            </w:tcBorders>
            <w:shd w:val="clear" w:color="auto" w:fill="auto"/>
          </w:tcPr>
          <w:p w14:paraId="0C4974FE" w14:textId="77777777" w:rsidR="00217C22" w:rsidRPr="00606D97" w:rsidRDefault="00217C22" w:rsidP="00B5414D">
            <w:pPr>
              <w:spacing w:after="0"/>
              <w:rPr>
                <w:rFonts w:ascii="Verdana" w:hAnsi="Verdana"/>
                <w:b/>
                <w:sz w:val="18"/>
                <w:szCs w:val="20"/>
              </w:rPr>
            </w:pPr>
            <w:r w:rsidRPr="00606D97">
              <w:rPr>
                <w:b/>
                <w:sz w:val="24"/>
                <w:szCs w:val="24"/>
              </w:rPr>
              <w:lastRenderedPageBreak/>
              <w:t xml:space="preserve">Облигация внешних облигационных займов Российской Федерации; </w:t>
            </w:r>
            <w:r w:rsidRPr="00606D97">
              <w:rPr>
                <w:b/>
                <w:sz w:val="24"/>
                <w:szCs w:val="24"/>
              </w:rPr>
              <w:br/>
              <w:t xml:space="preserve">• Долговая ценная бумага иностранных государств; </w:t>
            </w:r>
            <w:r w:rsidRPr="00606D97">
              <w:rPr>
                <w:b/>
                <w:sz w:val="24"/>
                <w:szCs w:val="24"/>
              </w:rPr>
              <w:br/>
              <w:t xml:space="preserve">• Еврооблигация иностранного эмитента; </w:t>
            </w:r>
            <w:r w:rsidRPr="00606D97">
              <w:rPr>
                <w:b/>
                <w:sz w:val="24"/>
                <w:szCs w:val="24"/>
              </w:rPr>
              <w:br/>
              <w:t>• Ценная бумага международной финансовой организации</w:t>
            </w:r>
            <w:r w:rsidRPr="00606D97">
              <w:rPr>
                <w:color w:val="000000" w:themeColor="text1"/>
                <w:sz w:val="24"/>
                <w:szCs w:val="24"/>
              </w:rPr>
              <w:t>.</w:t>
            </w:r>
          </w:p>
        </w:tc>
        <w:tc>
          <w:tcPr>
            <w:tcW w:w="10113" w:type="dxa"/>
            <w:tcBorders>
              <w:bottom w:val="single" w:sz="4" w:space="0" w:color="auto"/>
            </w:tcBorders>
            <w:shd w:val="clear" w:color="auto" w:fill="auto"/>
          </w:tcPr>
          <w:p w14:paraId="7919F289" w14:textId="77777777" w:rsidR="00217C22" w:rsidRPr="00606D97" w:rsidRDefault="00217C22" w:rsidP="00B5414D">
            <w:pPr>
              <w:pStyle w:val="Default"/>
              <w:rPr>
                <w:rFonts w:eastAsia="Times New Roman"/>
                <w:color w:val="000000" w:themeColor="text1"/>
                <w:lang w:eastAsia="ar-SA"/>
              </w:rPr>
            </w:pPr>
            <w:r w:rsidRPr="00606D97">
              <w:rPr>
                <w:rFonts w:eastAsia="Times New Roman"/>
                <w:color w:val="000000" w:themeColor="text1"/>
                <w:lang w:eastAsia="ar-SA"/>
              </w:rPr>
              <w:t>Для определения справедливой стоимости используются следующие цены, выбранные в порядке убывания приоритета:</w:t>
            </w:r>
          </w:p>
          <w:p w14:paraId="737A6FCC" w14:textId="77777777" w:rsidR="00217C22" w:rsidRPr="00606D97" w:rsidRDefault="00217C22" w:rsidP="00B5414D">
            <w:pPr>
              <w:pStyle w:val="Default"/>
              <w:rPr>
                <w:rFonts w:eastAsia="Times New Roman"/>
                <w:color w:val="000000" w:themeColor="text1"/>
                <w:lang w:eastAsia="ar-SA"/>
              </w:rPr>
            </w:pPr>
          </w:p>
          <w:p w14:paraId="3B1FD308" w14:textId="77777777" w:rsidR="00217C22" w:rsidRPr="00606D97" w:rsidRDefault="00217C22" w:rsidP="00217C22">
            <w:pPr>
              <w:pStyle w:val="ac"/>
              <w:numPr>
                <w:ilvl w:val="0"/>
                <w:numId w:val="40"/>
              </w:numPr>
              <w:spacing w:before="120" w:after="120" w:line="240" w:lineRule="auto"/>
              <w:jc w:val="both"/>
              <w:rPr>
                <w:color w:val="000000" w:themeColor="text1"/>
                <w:sz w:val="24"/>
                <w:szCs w:val="24"/>
              </w:rPr>
            </w:pPr>
            <w:r w:rsidRPr="00606D97">
              <w:rPr>
                <w:color w:val="000000" w:themeColor="text1"/>
                <w:sz w:val="24"/>
                <w:szCs w:val="24"/>
              </w:rPr>
              <w:t>цена закрытия (Last Price) BGN (Bloomberg Generic), раскрываемая информационной системой "Блумберг" (Bloomberg) на дату определения СЧА ;</w:t>
            </w:r>
          </w:p>
          <w:p w14:paraId="4EEF9F5D" w14:textId="77777777" w:rsidR="00217C22" w:rsidRPr="00606D97" w:rsidRDefault="00217C22" w:rsidP="00217C22">
            <w:pPr>
              <w:pStyle w:val="ac"/>
              <w:numPr>
                <w:ilvl w:val="0"/>
                <w:numId w:val="40"/>
              </w:numPr>
              <w:spacing w:before="120" w:after="120" w:line="240" w:lineRule="auto"/>
              <w:contextualSpacing w:val="0"/>
              <w:jc w:val="both"/>
              <w:rPr>
                <w:color w:val="000000" w:themeColor="text1"/>
                <w:sz w:val="24"/>
                <w:szCs w:val="24"/>
              </w:rPr>
            </w:pPr>
            <w:r w:rsidRPr="00606D97">
              <w:rPr>
                <w:color w:val="000000" w:themeColor="text1"/>
                <w:sz w:val="24"/>
                <w:szCs w:val="24"/>
              </w:rPr>
              <w:t>цена (Mid Line)  BVAL (Bloomberg Valuation), раскрываемая информационной системой "Блумберг" (Bloomberg) на дату определения СЧА при условии, что значение показателя Score  по указанной цене не ниже 6;</w:t>
            </w:r>
          </w:p>
          <w:p w14:paraId="59C19B3C" w14:textId="77777777" w:rsidR="00217C22" w:rsidRPr="00606D97" w:rsidRDefault="00217C22" w:rsidP="00217C22">
            <w:pPr>
              <w:pStyle w:val="ac"/>
              <w:numPr>
                <w:ilvl w:val="0"/>
                <w:numId w:val="40"/>
              </w:numPr>
              <w:spacing w:before="120" w:after="120" w:line="240" w:lineRule="auto"/>
              <w:contextualSpacing w:val="0"/>
              <w:jc w:val="both"/>
              <w:rPr>
                <w:color w:val="000000" w:themeColor="text1"/>
                <w:sz w:val="24"/>
                <w:szCs w:val="24"/>
              </w:rPr>
            </w:pPr>
            <w:r w:rsidRPr="00606D97">
              <w:rPr>
                <w:color w:val="000000" w:themeColor="text1"/>
                <w:sz w:val="24"/>
                <w:szCs w:val="24"/>
              </w:rPr>
              <w:t>цена, рассчитанная Ценовым центром НРД (по методологиям, утвержденным 01.12.2017 и позднее) на дату определения СЧА с использованием методов оценки, отвечающих критериям исходных данных 2-го уровня в соответствии с МСФО13  (приоритет отдается ценам, определенным по последней утвержденной методике оценки);</w:t>
            </w:r>
          </w:p>
          <w:p w14:paraId="736D2E93" w14:textId="77777777" w:rsidR="00217C22" w:rsidRPr="00606D97" w:rsidRDefault="00217C22" w:rsidP="00217C22">
            <w:pPr>
              <w:pStyle w:val="ac"/>
              <w:numPr>
                <w:ilvl w:val="0"/>
                <w:numId w:val="40"/>
              </w:numPr>
              <w:spacing w:before="120" w:after="120" w:line="240" w:lineRule="auto"/>
              <w:contextualSpacing w:val="0"/>
              <w:jc w:val="both"/>
              <w:rPr>
                <w:color w:val="000000" w:themeColor="text1"/>
                <w:sz w:val="24"/>
                <w:szCs w:val="24"/>
              </w:rPr>
            </w:pPr>
            <w:r w:rsidRPr="00606D97">
              <w:rPr>
                <w:color w:val="000000" w:themeColor="text1"/>
                <w:sz w:val="24"/>
                <w:szCs w:val="24"/>
              </w:rPr>
              <w:t>Индикативная цена Cbonds Estimation, раскрываемая информационным агенством «Группа компаний Cbonds» на дату определения СЧА;</w:t>
            </w:r>
          </w:p>
          <w:p w14:paraId="3EA0BF2E" w14:textId="77777777" w:rsidR="00217C22" w:rsidRPr="00606D97" w:rsidRDefault="00217C22" w:rsidP="00217C22">
            <w:pPr>
              <w:pStyle w:val="ac"/>
              <w:numPr>
                <w:ilvl w:val="0"/>
                <w:numId w:val="40"/>
              </w:numPr>
              <w:spacing w:before="120" w:after="120" w:line="240" w:lineRule="auto"/>
              <w:contextualSpacing w:val="0"/>
              <w:jc w:val="both"/>
              <w:rPr>
                <w:color w:val="000000" w:themeColor="text1"/>
                <w:sz w:val="24"/>
                <w:szCs w:val="24"/>
              </w:rPr>
            </w:pPr>
            <w:r w:rsidRPr="00606D97">
              <w:rPr>
                <w:color w:val="000000" w:themeColor="text1"/>
                <w:sz w:val="24"/>
                <w:szCs w:val="24"/>
              </w:rPr>
              <w:t>Индикативная цена Cbonds Valuation, раскрываемая информационным агенством «Группа компаний Cbonds» на дату определения СЧА;</w:t>
            </w:r>
          </w:p>
          <w:p w14:paraId="37D31244" w14:textId="77777777" w:rsidR="00217C22" w:rsidRPr="00606D97" w:rsidRDefault="00217C22" w:rsidP="00217C22">
            <w:pPr>
              <w:pStyle w:val="ac"/>
              <w:numPr>
                <w:ilvl w:val="0"/>
                <w:numId w:val="40"/>
              </w:numPr>
              <w:spacing w:before="120" w:after="120" w:line="240" w:lineRule="auto"/>
              <w:contextualSpacing w:val="0"/>
              <w:jc w:val="both"/>
              <w:rPr>
                <w:color w:val="000000" w:themeColor="text1"/>
                <w:sz w:val="24"/>
                <w:szCs w:val="24"/>
              </w:rPr>
            </w:pPr>
            <w:r w:rsidRPr="00606D97">
              <w:rPr>
                <w:color w:val="000000" w:themeColor="text1"/>
                <w:sz w:val="24"/>
                <w:szCs w:val="24"/>
              </w:rPr>
              <w:t xml:space="preserve">цена закрытия (Last Price) BGN (Bloomberg Generic), раскрываемая информационной системой "Блумберг" (Bloomberg) на последний тогровый день, предшествующий дате </w:t>
            </w:r>
            <w:r w:rsidRPr="00606D97">
              <w:rPr>
                <w:color w:val="000000" w:themeColor="text1"/>
                <w:sz w:val="24"/>
                <w:szCs w:val="24"/>
              </w:rPr>
              <w:lastRenderedPageBreak/>
              <w:t>определения СЧА, в случае отсутствия цен BGN в информационной системе Bloomberg на дату определения СЧА в связи с неторговым днем бирж, данные о торгах которых используются для расчета BGN;</w:t>
            </w:r>
          </w:p>
          <w:p w14:paraId="37708A47" w14:textId="77777777" w:rsidR="00217C22" w:rsidRPr="00606D97" w:rsidRDefault="00217C22" w:rsidP="00217C22">
            <w:pPr>
              <w:pStyle w:val="ac"/>
              <w:numPr>
                <w:ilvl w:val="0"/>
                <w:numId w:val="40"/>
              </w:numPr>
              <w:spacing w:before="120" w:after="120" w:line="240" w:lineRule="auto"/>
              <w:contextualSpacing w:val="0"/>
              <w:jc w:val="both"/>
              <w:rPr>
                <w:color w:val="000000" w:themeColor="text1"/>
                <w:sz w:val="24"/>
                <w:szCs w:val="24"/>
              </w:rPr>
            </w:pPr>
            <w:r w:rsidRPr="00606D97">
              <w:rPr>
                <w:color w:val="000000" w:themeColor="text1"/>
                <w:sz w:val="24"/>
                <w:szCs w:val="24"/>
              </w:rPr>
              <w:t xml:space="preserve">цена (Mid Line)  BVAL (Bloomberg Valuation) раскрываемая информационной системой "Блумберг" (Bloomberg) на последний тогровый день, предшествующий дате определения СЧА, при условии, что значение показателя Score  по указанной цене </w:t>
            </w:r>
            <w:r w:rsidRPr="00606D97">
              <w:rPr>
                <w:b/>
                <w:color w:val="000000" w:themeColor="text1"/>
                <w:sz w:val="24"/>
                <w:szCs w:val="24"/>
              </w:rPr>
              <w:t>не ниже 6</w:t>
            </w:r>
            <w:r w:rsidRPr="00606D97">
              <w:rPr>
                <w:color w:val="000000" w:themeColor="text1"/>
                <w:sz w:val="24"/>
                <w:szCs w:val="24"/>
              </w:rPr>
              <w:t xml:space="preserve"> в случае отсутствия цен BVAL в информационной системе Bloomberg на дату определения СЧА в связи с неторговым днем бирж, данные о торгах которых используются для расчета BVAL (указывается, в случае наличия у Управляющей компании доступа к информационной системе).</w:t>
            </w:r>
          </w:p>
          <w:p w14:paraId="73759BE2" w14:textId="77777777" w:rsidR="00217C22" w:rsidRPr="00606D97" w:rsidRDefault="00217C22" w:rsidP="00B5414D">
            <w:pPr>
              <w:spacing w:before="120" w:after="120"/>
              <w:jc w:val="both"/>
              <w:rPr>
                <w:color w:val="000000" w:themeColor="text1"/>
                <w:sz w:val="24"/>
                <w:szCs w:val="24"/>
              </w:rPr>
            </w:pPr>
            <w:r w:rsidRPr="00606D97">
              <w:rPr>
                <w:color w:val="000000" w:themeColor="text1"/>
                <w:sz w:val="24"/>
                <w:szCs w:val="24"/>
              </w:rPr>
              <w:t>Справедливая стоимость долговой ценной бумаги определяется с учётом накопленного купонного дохода на дату определения СЧА.</w:t>
            </w:r>
          </w:p>
          <w:p w14:paraId="01EA21FE" w14:textId="77777777" w:rsidR="00217C22" w:rsidRPr="00606D97" w:rsidRDefault="00217C22" w:rsidP="00B5414D">
            <w:pPr>
              <w:pStyle w:val="ac"/>
              <w:spacing w:before="120" w:after="120" w:line="240" w:lineRule="auto"/>
              <w:ind w:left="0"/>
              <w:contextualSpacing w:val="0"/>
              <w:jc w:val="both"/>
              <w:rPr>
                <w:rFonts w:ascii="Verdana" w:hAnsi="Verdana"/>
                <w:sz w:val="20"/>
                <w:szCs w:val="20"/>
              </w:rPr>
            </w:pPr>
            <w:r w:rsidRPr="00606D97">
              <w:rPr>
                <w:rFonts w:ascii="Verdana" w:hAnsi="Verdana"/>
                <w:sz w:val="20"/>
                <w:szCs w:val="20"/>
              </w:rPr>
              <w:t>Если указанные цены отсутствуют, для ценной бумаги применяется  3-й уровень оценки стоимости ценных бумаг.</w:t>
            </w:r>
          </w:p>
          <w:p w14:paraId="0E26CE8A" w14:textId="77777777" w:rsidR="00217C22" w:rsidRPr="00606D97" w:rsidRDefault="00217C22" w:rsidP="00B5414D">
            <w:pPr>
              <w:spacing w:before="120" w:after="120"/>
              <w:jc w:val="both"/>
              <w:rPr>
                <w:rFonts w:ascii="Verdana" w:hAnsi="Verdana"/>
                <w:sz w:val="20"/>
                <w:szCs w:val="20"/>
              </w:rPr>
            </w:pPr>
            <w:r w:rsidRPr="00606D97">
              <w:rPr>
                <w:rFonts w:ascii="Verdana" w:hAnsi="Verdana"/>
                <w:sz w:val="20"/>
                <w:szCs w:val="20"/>
              </w:rPr>
              <w:t>В случае отсутствия цен закрытия в информационной системе Bloomberg в связи с неторговым днем бирж, по итогам торгов на которых определяется цена закрытия, то для целей определения справедливой стоимости активов используется цена закрытия последнего торгового дня.</w:t>
            </w:r>
          </w:p>
        </w:tc>
      </w:tr>
      <w:tr w:rsidR="00217C22" w:rsidRPr="00606D97" w14:paraId="3F90CAC8" w14:textId="77777777" w:rsidTr="00B5414D">
        <w:tc>
          <w:tcPr>
            <w:tcW w:w="13289" w:type="dxa"/>
            <w:gridSpan w:val="2"/>
            <w:tcBorders>
              <w:left w:val="nil"/>
              <w:bottom w:val="single" w:sz="4" w:space="0" w:color="auto"/>
              <w:right w:val="nil"/>
            </w:tcBorders>
            <w:shd w:val="clear" w:color="auto" w:fill="auto"/>
          </w:tcPr>
          <w:p w14:paraId="606BD682" w14:textId="77777777" w:rsidR="00217C22" w:rsidRPr="00606D97" w:rsidRDefault="00217C22" w:rsidP="00B5414D">
            <w:pPr>
              <w:spacing w:before="240" w:after="240" w:line="240" w:lineRule="auto"/>
              <w:rPr>
                <w:rFonts w:ascii="Verdana" w:hAnsi="Verdana"/>
                <w:bCs/>
                <w:iCs/>
                <w:color w:val="943634"/>
                <w:szCs w:val="20"/>
              </w:rPr>
            </w:pPr>
          </w:p>
          <w:p w14:paraId="24111CF6" w14:textId="77777777" w:rsidR="00217C22" w:rsidRPr="00606D97" w:rsidRDefault="00217C22" w:rsidP="00B5414D">
            <w:pPr>
              <w:spacing w:before="240" w:after="240" w:line="240" w:lineRule="auto"/>
              <w:rPr>
                <w:rFonts w:ascii="Verdana" w:hAnsi="Verdana"/>
                <w:bCs/>
                <w:iCs/>
                <w:color w:val="943634"/>
                <w:szCs w:val="20"/>
              </w:rPr>
            </w:pPr>
            <w:r w:rsidRPr="00606D97">
              <w:rPr>
                <w:rFonts w:ascii="Verdana" w:hAnsi="Verdana"/>
                <w:bCs/>
                <w:iCs/>
                <w:color w:val="943634"/>
                <w:szCs w:val="20"/>
              </w:rPr>
              <w:t xml:space="preserve">Модели оценки стоимости ценных бумаг, для которых </w:t>
            </w:r>
            <w:r w:rsidRPr="00606D97">
              <w:rPr>
                <w:rFonts w:ascii="Verdana" w:hAnsi="Verdana"/>
                <w:b/>
                <w:bCs/>
                <w:iCs/>
                <w:color w:val="943634"/>
                <w:szCs w:val="20"/>
              </w:rPr>
              <w:t>не определяется активный рынок и отсутствуют наблюдаемые данные</w:t>
            </w:r>
            <w:r w:rsidRPr="00606D97">
              <w:rPr>
                <w:rFonts w:ascii="Verdana" w:hAnsi="Verdana"/>
                <w:bCs/>
                <w:iCs/>
                <w:color w:val="943634"/>
                <w:szCs w:val="20"/>
              </w:rPr>
              <w:t xml:space="preserve"> (</w:t>
            </w:r>
            <w:r w:rsidRPr="00606D97">
              <w:rPr>
                <w:rFonts w:ascii="Verdana" w:hAnsi="Verdana"/>
                <w:b/>
                <w:bCs/>
                <w:iCs/>
                <w:color w:val="943634"/>
                <w:szCs w:val="20"/>
              </w:rPr>
              <w:t>3-й уровень</w:t>
            </w:r>
            <w:r w:rsidRPr="00606D97">
              <w:rPr>
                <w:rFonts w:ascii="Verdana" w:hAnsi="Verdana"/>
                <w:bCs/>
                <w:iCs/>
                <w:color w:val="943634"/>
                <w:szCs w:val="20"/>
              </w:rPr>
              <w:t>)</w:t>
            </w:r>
          </w:p>
        </w:tc>
      </w:tr>
      <w:tr w:rsidR="00217C22" w:rsidRPr="00606D97" w14:paraId="5303F188" w14:textId="77777777" w:rsidTr="00B5414D">
        <w:tc>
          <w:tcPr>
            <w:tcW w:w="3176" w:type="dxa"/>
            <w:shd w:val="clear" w:color="auto" w:fill="A6A6A6"/>
          </w:tcPr>
          <w:p w14:paraId="30C02416"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Ценные бумаги</w:t>
            </w:r>
          </w:p>
        </w:tc>
        <w:tc>
          <w:tcPr>
            <w:tcW w:w="10113" w:type="dxa"/>
            <w:shd w:val="clear" w:color="auto" w:fill="A6A6A6"/>
          </w:tcPr>
          <w:p w14:paraId="56353A21"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14:paraId="0CE55A93" w14:textId="77777777" w:rsidTr="00B5414D">
        <w:tc>
          <w:tcPr>
            <w:tcW w:w="3176" w:type="dxa"/>
            <w:shd w:val="clear" w:color="auto" w:fill="auto"/>
          </w:tcPr>
          <w:p w14:paraId="5955DDAC" w14:textId="77777777" w:rsidR="00217C22" w:rsidRPr="00606D97" w:rsidRDefault="00217C22" w:rsidP="00B5414D">
            <w:pPr>
              <w:pStyle w:val="ac"/>
              <w:spacing w:after="0" w:line="240" w:lineRule="auto"/>
              <w:ind w:left="0"/>
              <w:jc w:val="both"/>
              <w:rPr>
                <w:rFonts w:ascii="Verdana" w:hAnsi="Verdana"/>
                <w:b/>
                <w:sz w:val="18"/>
                <w:szCs w:val="20"/>
              </w:rPr>
            </w:pPr>
            <w:r w:rsidRPr="00606D97">
              <w:rPr>
                <w:rFonts w:ascii="Verdana" w:hAnsi="Verdana"/>
                <w:b/>
                <w:sz w:val="18"/>
                <w:szCs w:val="20"/>
              </w:rPr>
              <w:t>Депозитный сертификат</w:t>
            </w:r>
          </w:p>
        </w:tc>
        <w:tc>
          <w:tcPr>
            <w:tcW w:w="10113" w:type="dxa"/>
            <w:shd w:val="clear" w:color="auto" w:fill="auto"/>
          </w:tcPr>
          <w:p w14:paraId="4E260592" w14:textId="77777777" w:rsidR="00217C22" w:rsidRPr="00606D97" w:rsidRDefault="00217C22" w:rsidP="00B5414D">
            <w:pPr>
              <w:spacing w:before="120" w:after="120" w:line="240" w:lineRule="auto"/>
              <w:ind w:left="34"/>
              <w:jc w:val="both"/>
              <w:rPr>
                <w:rFonts w:ascii="Verdana" w:hAnsi="Verdana"/>
                <w:sz w:val="20"/>
                <w:szCs w:val="20"/>
              </w:rPr>
            </w:pPr>
            <w:r w:rsidRPr="00606D97">
              <w:rPr>
                <w:rFonts w:ascii="Verdana" w:hAnsi="Verdana"/>
                <w:sz w:val="20"/>
                <w:szCs w:val="20"/>
              </w:rPr>
              <w:t xml:space="preserve">Для определения справедливой стоимости, используется метод определения справедливой стоимости, принятый для </w:t>
            </w:r>
            <w:r w:rsidRPr="00606D97">
              <w:rPr>
                <w:rFonts w:ascii="Verdana" w:eastAsia="Times New Roman" w:hAnsi="Verdana"/>
                <w:bCs/>
                <w:color w:val="000000"/>
                <w:sz w:val="20"/>
                <w:szCs w:val="20"/>
                <w:lang w:eastAsia="ru-RU"/>
              </w:rPr>
              <w:t xml:space="preserve">денежных средств во вкладах </w:t>
            </w:r>
            <w:r w:rsidRPr="00606D97">
              <w:rPr>
                <w:rFonts w:ascii="Verdana" w:hAnsi="Verdana"/>
                <w:sz w:val="20"/>
                <w:szCs w:val="20"/>
              </w:rPr>
              <w:t>(Приложение 9).</w:t>
            </w:r>
          </w:p>
          <w:p w14:paraId="23B09612" w14:textId="77777777" w:rsidR="00217C22" w:rsidRPr="00606D97" w:rsidRDefault="00217C22" w:rsidP="00B5414D">
            <w:pPr>
              <w:spacing w:before="120" w:after="120" w:line="240" w:lineRule="auto"/>
              <w:ind w:left="34"/>
              <w:jc w:val="both"/>
              <w:rPr>
                <w:rFonts w:ascii="Verdana" w:hAnsi="Verdana"/>
                <w:sz w:val="20"/>
                <w:szCs w:val="20"/>
              </w:rPr>
            </w:pPr>
          </w:p>
          <w:p w14:paraId="4879F6D2" w14:textId="77777777" w:rsidR="00217C22" w:rsidRPr="00606D97" w:rsidRDefault="00217C22" w:rsidP="00B5414D">
            <w:pPr>
              <w:spacing w:before="120" w:after="120" w:line="240" w:lineRule="auto"/>
              <w:ind w:left="34"/>
              <w:jc w:val="both"/>
              <w:rPr>
                <w:rFonts w:ascii="Verdana" w:hAnsi="Verdana"/>
                <w:sz w:val="20"/>
                <w:szCs w:val="20"/>
              </w:rPr>
            </w:pPr>
          </w:p>
          <w:p w14:paraId="09FEBEAB" w14:textId="77777777" w:rsidR="00217C22" w:rsidRPr="00606D97" w:rsidRDefault="00217C22" w:rsidP="00B5414D">
            <w:pPr>
              <w:spacing w:before="120" w:after="120" w:line="240" w:lineRule="auto"/>
              <w:jc w:val="both"/>
              <w:rPr>
                <w:rFonts w:ascii="Verdana" w:hAnsi="Verdana"/>
                <w:sz w:val="20"/>
                <w:szCs w:val="20"/>
              </w:rPr>
            </w:pPr>
          </w:p>
        </w:tc>
      </w:tr>
      <w:tr w:rsidR="00217C22" w:rsidRPr="00606D97" w14:paraId="1C69F368" w14:textId="77777777" w:rsidTr="00B5414D">
        <w:tc>
          <w:tcPr>
            <w:tcW w:w="3176" w:type="dxa"/>
            <w:shd w:val="clear" w:color="auto" w:fill="auto"/>
          </w:tcPr>
          <w:p w14:paraId="55D07292" w14:textId="77777777" w:rsidR="00217C22" w:rsidRPr="00606D97" w:rsidRDefault="00217C22" w:rsidP="00B5414D">
            <w:pPr>
              <w:pStyle w:val="ac"/>
              <w:spacing w:after="0" w:line="240" w:lineRule="auto"/>
              <w:ind w:left="0"/>
              <w:jc w:val="both"/>
              <w:rPr>
                <w:rFonts w:ascii="Verdana" w:hAnsi="Verdana"/>
                <w:b/>
                <w:sz w:val="18"/>
                <w:szCs w:val="20"/>
              </w:rPr>
            </w:pPr>
            <w:r w:rsidRPr="00606D97">
              <w:rPr>
                <w:rFonts w:ascii="Verdana" w:hAnsi="Verdana"/>
                <w:b/>
                <w:sz w:val="18"/>
                <w:szCs w:val="20"/>
              </w:rPr>
              <w:lastRenderedPageBreak/>
              <w:t xml:space="preserve">Депозитарная расписка  </w:t>
            </w:r>
          </w:p>
        </w:tc>
        <w:tc>
          <w:tcPr>
            <w:tcW w:w="10113" w:type="dxa"/>
            <w:shd w:val="clear" w:color="auto" w:fill="auto"/>
          </w:tcPr>
          <w:p w14:paraId="38C83B95"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eastAsia="ru-RU"/>
              </w:rPr>
              <w:t>Справедливая стоимость депозитарной расписки может быть определена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2-го уровня.</w:t>
            </w:r>
          </w:p>
          <w:p w14:paraId="74A29639" w14:textId="77777777" w:rsidR="00217C22" w:rsidRPr="00606D97" w:rsidRDefault="00217C22" w:rsidP="00B5414D">
            <w:pPr>
              <w:spacing w:before="120" w:after="120" w:line="240" w:lineRule="auto"/>
              <w:ind w:left="34"/>
              <w:jc w:val="both"/>
              <w:rPr>
                <w:rFonts w:ascii="Verdana" w:hAnsi="Verdana"/>
                <w:sz w:val="20"/>
                <w:szCs w:val="20"/>
              </w:rPr>
            </w:pPr>
          </w:p>
        </w:tc>
      </w:tr>
      <w:tr w:rsidR="00217C22" w:rsidRPr="00606D97" w14:paraId="099C42CB" w14:textId="77777777" w:rsidTr="00B5414D">
        <w:trPr>
          <w:trHeight w:val="1974"/>
        </w:trPr>
        <w:tc>
          <w:tcPr>
            <w:tcW w:w="3176" w:type="dxa"/>
            <w:tcBorders>
              <w:bottom w:val="single" w:sz="4" w:space="0" w:color="auto"/>
            </w:tcBorders>
            <w:shd w:val="clear" w:color="auto" w:fill="auto"/>
          </w:tcPr>
          <w:p w14:paraId="27ABA96F" w14:textId="77777777" w:rsidR="00217C22" w:rsidRPr="00606D97" w:rsidRDefault="00217C22" w:rsidP="00B5414D">
            <w:pPr>
              <w:spacing w:after="0" w:line="240" w:lineRule="auto"/>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 xml:space="preserve"> Облигации российских эмитентов (за исключением облигаций внешних облигационных займов)</w:t>
            </w:r>
          </w:p>
          <w:p w14:paraId="7F8FDA31" w14:textId="77777777" w:rsidR="00217C22" w:rsidRPr="00606D97" w:rsidRDefault="00217C22" w:rsidP="00B5414D">
            <w:pPr>
              <w:spacing w:after="0" w:line="240" w:lineRule="auto"/>
              <w:rPr>
                <w:rFonts w:ascii="Verdana" w:eastAsia="Times New Roman" w:hAnsi="Verdana"/>
                <w:b/>
                <w:color w:val="000000"/>
                <w:sz w:val="18"/>
                <w:szCs w:val="20"/>
                <w:lang w:eastAsia="ru-RU"/>
              </w:rPr>
            </w:pPr>
          </w:p>
          <w:p w14:paraId="4CB285F5" w14:textId="77777777" w:rsidR="00217C22" w:rsidRPr="00606D97" w:rsidRDefault="00217C22" w:rsidP="00B5414D">
            <w:pPr>
              <w:spacing w:after="0" w:line="240" w:lineRule="auto"/>
              <w:rPr>
                <w:rFonts w:ascii="Verdana" w:hAnsi="Verdana"/>
                <w:b/>
                <w:sz w:val="18"/>
                <w:szCs w:val="20"/>
              </w:rPr>
            </w:pPr>
            <w:r w:rsidRPr="00606D97">
              <w:rPr>
                <w:rFonts w:ascii="Verdana" w:eastAsia="Times New Roman" w:hAnsi="Verdana"/>
                <w:b/>
                <w:color w:val="000000"/>
                <w:sz w:val="18"/>
                <w:szCs w:val="20"/>
                <w:lang w:eastAsia="ru-RU"/>
              </w:rPr>
              <w:t>Облигации, номинированные в рублях</w:t>
            </w:r>
          </w:p>
        </w:tc>
        <w:tc>
          <w:tcPr>
            <w:tcW w:w="10113" w:type="dxa"/>
            <w:tcBorders>
              <w:bottom w:val="single" w:sz="4" w:space="0" w:color="auto"/>
            </w:tcBorders>
            <w:shd w:val="clear" w:color="auto" w:fill="auto"/>
          </w:tcPr>
          <w:p w14:paraId="77C9E117" w14:textId="77777777" w:rsidR="00217C22" w:rsidRPr="00606D97" w:rsidRDefault="00217C22" w:rsidP="00B5414D">
            <w:pPr>
              <w:spacing w:before="120" w:after="120" w:line="240" w:lineRule="auto"/>
              <w:rPr>
                <w:rFonts w:ascii="Verdana" w:eastAsia="Times New Roman" w:hAnsi="Verdana"/>
                <w:b/>
                <w:color w:val="000000"/>
                <w:sz w:val="20"/>
                <w:szCs w:val="20"/>
                <w:lang w:eastAsia="ru-RU"/>
              </w:rPr>
            </w:pPr>
            <w:r w:rsidRPr="00606D97">
              <w:rPr>
                <w:rFonts w:ascii="Verdana" w:eastAsia="Times New Roman" w:hAnsi="Verdana"/>
                <w:color w:val="000000"/>
                <w:sz w:val="20"/>
                <w:szCs w:val="20"/>
                <w:lang w:eastAsia="ru-RU"/>
              </w:rPr>
              <w:t>Для определения справедливой стоимости</w:t>
            </w:r>
            <w:r w:rsidRPr="00606D97">
              <w:rPr>
                <w:rFonts w:ascii="Verdana" w:eastAsia="Times New Roman" w:hAnsi="Verdana"/>
                <w:b/>
                <w:color w:val="000000"/>
                <w:sz w:val="20"/>
                <w:szCs w:val="20"/>
                <w:lang w:eastAsia="ru-RU"/>
              </w:rPr>
              <w:t xml:space="preserve"> облигаций российских эмитентов</w:t>
            </w:r>
            <w:r w:rsidRPr="00606D97">
              <w:rPr>
                <w:rFonts w:ascii="Verdana" w:eastAsia="Times New Roman" w:hAnsi="Verdana"/>
                <w:color w:val="000000"/>
                <w:sz w:val="20"/>
                <w:szCs w:val="20"/>
                <w:lang w:eastAsia="ru-RU"/>
              </w:rPr>
              <w:t>, а так же</w:t>
            </w:r>
            <w:r w:rsidRPr="00606D97">
              <w:rPr>
                <w:rFonts w:ascii="Verdana" w:eastAsia="Times New Roman" w:hAnsi="Verdana"/>
                <w:b/>
                <w:color w:val="000000"/>
                <w:sz w:val="20"/>
                <w:szCs w:val="20"/>
                <w:lang w:eastAsia="ru-RU"/>
              </w:rPr>
              <w:t xml:space="preserve"> облигаций, номинированных в рублях, </w:t>
            </w:r>
            <w:r w:rsidRPr="00606D97">
              <w:rPr>
                <w:rFonts w:ascii="Verdana" w:eastAsia="Times New Roman" w:hAnsi="Verdana"/>
                <w:color w:val="000000"/>
                <w:sz w:val="20"/>
                <w:szCs w:val="20"/>
                <w:lang w:eastAsia="ru-RU"/>
              </w:rPr>
              <w:t xml:space="preserve">используется: </w:t>
            </w:r>
          </w:p>
          <w:p w14:paraId="16CD2E70" w14:textId="77777777" w:rsidR="00217C22" w:rsidRPr="00606D97" w:rsidRDefault="00217C22" w:rsidP="00B5414D">
            <w:pPr>
              <w:spacing w:before="120" w:after="120" w:line="240" w:lineRule="auto"/>
              <w:rPr>
                <w:rFonts w:ascii="Verdana" w:eastAsia="Times New Roman" w:hAnsi="Verdana"/>
                <w:color w:val="000000"/>
                <w:sz w:val="20"/>
                <w:szCs w:val="20"/>
                <w:lang w:eastAsia="ru-RU"/>
              </w:rPr>
            </w:pPr>
            <w:r w:rsidRPr="00606D97">
              <w:rPr>
                <w:rFonts w:ascii="Verdana" w:eastAsia="Times New Roman" w:hAnsi="Verdana"/>
                <w:color w:val="000000"/>
                <w:sz w:val="20"/>
                <w:szCs w:val="20"/>
                <w:lang w:eastAsia="ru-RU"/>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3-го уровня в соответствии с МСФО13  (приоритет отдается ценам, определенным по последней утвержденной методике оценки).</w:t>
            </w:r>
          </w:p>
          <w:p w14:paraId="587B348F" w14:textId="77777777" w:rsidR="00217C22" w:rsidRPr="00606D97" w:rsidRDefault="00217C22" w:rsidP="00B5414D">
            <w:pPr>
              <w:spacing w:before="120" w:after="120" w:line="240" w:lineRule="auto"/>
              <w:rPr>
                <w:rFonts w:ascii="Verdana" w:hAnsi="Verdana"/>
                <w:sz w:val="20"/>
                <w:szCs w:val="20"/>
              </w:rPr>
            </w:pPr>
          </w:p>
        </w:tc>
      </w:tr>
      <w:tr w:rsidR="00217C22" w:rsidRPr="00606D97" w14:paraId="09853723" w14:textId="77777777" w:rsidTr="00B5414D">
        <w:trPr>
          <w:trHeight w:val="4830"/>
        </w:trPr>
        <w:tc>
          <w:tcPr>
            <w:tcW w:w="3176" w:type="dxa"/>
            <w:tcBorders>
              <w:bottom w:val="single" w:sz="4" w:space="0" w:color="auto"/>
            </w:tcBorders>
            <w:shd w:val="clear" w:color="auto" w:fill="auto"/>
          </w:tcPr>
          <w:p w14:paraId="4ABB2E5A" w14:textId="77777777" w:rsidR="00217C22" w:rsidRPr="00606D97" w:rsidRDefault="00217C22" w:rsidP="00B5414D">
            <w:pPr>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 xml:space="preserve">Облигация внешних облигационных займов Российской Федерации </w:t>
            </w:r>
          </w:p>
          <w:p w14:paraId="09EE0CEA" w14:textId="77777777" w:rsidR="00217C22" w:rsidRPr="00606D97" w:rsidRDefault="00217C22" w:rsidP="00B5414D">
            <w:pPr>
              <w:rPr>
                <w:rFonts w:ascii="Verdana" w:eastAsia="Times New Roman" w:hAnsi="Verdana"/>
                <w:b/>
                <w:color w:val="000000"/>
                <w:sz w:val="18"/>
                <w:szCs w:val="20"/>
                <w:lang w:eastAsia="ru-RU"/>
              </w:rPr>
            </w:pPr>
          </w:p>
          <w:p w14:paraId="0C7214CC" w14:textId="77777777" w:rsidR="00217C22" w:rsidRPr="00606D97" w:rsidRDefault="00217C22" w:rsidP="00B5414D">
            <w:pPr>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 xml:space="preserve">Долговая ценная бумага иностранных государств </w:t>
            </w:r>
          </w:p>
          <w:p w14:paraId="0F949AE6" w14:textId="77777777" w:rsidR="00217C22" w:rsidRPr="00606D97" w:rsidRDefault="00217C22" w:rsidP="00B5414D">
            <w:pPr>
              <w:rPr>
                <w:rFonts w:ascii="Verdana" w:eastAsia="Times New Roman" w:hAnsi="Verdana"/>
                <w:b/>
                <w:color w:val="000000"/>
                <w:sz w:val="18"/>
                <w:szCs w:val="20"/>
                <w:lang w:eastAsia="ru-RU"/>
              </w:rPr>
            </w:pPr>
          </w:p>
          <w:p w14:paraId="5307134A" w14:textId="77777777" w:rsidR="00217C22" w:rsidRPr="00606D97" w:rsidRDefault="00217C22" w:rsidP="00B5414D">
            <w:pPr>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Еврооблигация иностранного эмитента</w:t>
            </w:r>
          </w:p>
          <w:p w14:paraId="517BDE64" w14:textId="77777777" w:rsidR="00217C22" w:rsidRPr="00606D97" w:rsidRDefault="00217C22" w:rsidP="00B5414D">
            <w:pPr>
              <w:rPr>
                <w:rFonts w:ascii="Verdana" w:eastAsia="Times New Roman" w:hAnsi="Verdana"/>
                <w:b/>
                <w:color w:val="000000"/>
                <w:sz w:val="18"/>
                <w:szCs w:val="20"/>
                <w:lang w:eastAsia="ru-RU"/>
              </w:rPr>
            </w:pPr>
          </w:p>
          <w:p w14:paraId="180F7A5F" w14:textId="77777777" w:rsidR="00217C22" w:rsidRPr="00606D97" w:rsidDel="00311A25" w:rsidRDefault="00217C22" w:rsidP="00B5414D">
            <w:pPr>
              <w:pStyle w:val="ac"/>
              <w:spacing w:after="0" w:line="240" w:lineRule="auto"/>
              <w:ind w:left="0"/>
              <w:rPr>
                <w:rFonts w:ascii="Verdana" w:hAnsi="Verdana"/>
                <w:b/>
                <w:sz w:val="18"/>
                <w:szCs w:val="20"/>
              </w:rPr>
            </w:pPr>
            <w:r w:rsidRPr="00606D97">
              <w:rPr>
                <w:rFonts w:ascii="Verdana" w:eastAsia="Times New Roman" w:hAnsi="Verdana"/>
                <w:b/>
                <w:color w:val="000000"/>
                <w:sz w:val="18"/>
                <w:szCs w:val="20"/>
                <w:lang w:eastAsia="ru-RU"/>
              </w:rPr>
              <w:t>Ценная бумага международной финансовой организации</w:t>
            </w:r>
          </w:p>
        </w:tc>
        <w:tc>
          <w:tcPr>
            <w:tcW w:w="10113" w:type="dxa"/>
            <w:tcBorders>
              <w:bottom w:val="single" w:sz="4" w:space="0" w:color="auto"/>
            </w:tcBorders>
            <w:shd w:val="clear" w:color="auto" w:fill="auto"/>
          </w:tcPr>
          <w:p w14:paraId="24D65266" w14:textId="77777777" w:rsidR="00217C22" w:rsidRPr="00606D97" w:rsidRDefault="00217C22" w:rsidP="00B5414D">
            <w:pPr>
              <w:spacing w:before="120"/>
              <w:ind w:firstLine="426"/>
              <w:jc w:val="both"/>
              <w:rPr>
                <w:color w:val="000000" w:themeColor="text1"/>
                <w:sz w:val="24"/>
                <w:szCs w:val="24"/>
              </w:rPr>
            </w:pPr>
            <w:r w:rsidRPr="00606D97">
              <w:rPr>
                <w:color w:val="000000" w:themeColor="text1"/>
                <w:sz w:val="24"/>
                <w:szCs w:val="24"/>
              </w:rPr>
              <w:t xml:space="preserve">Для определения справедливой стоимости используются следующие цены в следующем порядке (убывания приоритета): </w:t>
            </w:r>
          </w:p>
          <w:p w14:paraId="4D23DC42" w14:textId="77777777" w:rsidR="00217C22" w:rsidRPr="00606D97" w:rsidRDefault="00217C22" w:rsidP="00B5414D">
            <w:pPr>
              <w:spacing w:before="120"/>
              <w:ind w:firstLine="426"/>
              <w:jc w:val="both"/>
              <w:rPr>
                <w:color w:val="000000" w:themeColor="text1"/>
                <w:sz w:val="24"/>
                <w:szCs w:val="24"/>
              </w:rPr>
            </w:pPr>
            <w:r w:rsidRPr="00606D97">
              <w:rPr>
                <w:color w:val="000000" w:themeColor="text1"/>
                <w:sz w:val="24"/>
                <w:szCs w:val="24"/>
              </w:rPr>
              <w:t>цена (Mid Line)  BVAL (Bloomberg Valuation), раскрываемая информационной системой "Блумберг" (Bloomberg) на дату определения СЧА при условии, что значение показателя Score  по указанной цене ниже 6 (указывается, в случае наличия у Управляющей компании доступа к информационной системе);</w:t>
            </w:r>
          </w:p>
          <w:p w14:paraId="73C5BB92" w14:textId="77777777" w:rsidR="00217C22" w:rsidRPr="00606D97" w:rsidRDefault="00217C22" w:rsidP="00B5414D">
            <w:pPr>
              <w:spacing w:before="120"/>
              <w:ind w:firstLine="426"/>
              <w:jc w:val="both"/>
              <w:rPr>
                <w:color w:val="000000" w:themeColor="text1"/>
                <w:sz w:val="24"/>
                <w:szCs w:val="24"/>
              </w:rPr>
            </w:pPr>
            <w:r w:rsidRPr="00606D97">
              <w:rPr>
                <w:color w:val="000000" w:themeColor="text1"/>
                <w:sz w:val="24"/>
                <w:szCs w:val="24"/>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3-го уровня в соответствии с МСФО13  (приоритет отдается ценам, определенным по последней утвержденной методике оценки).</w:t>
            </w:r>
          </w:p>
          <w:p w14:paraId="03B9C9F4" w14:textId="3BDDFA2C" w:rsidR="00217C22" w:rsidRPr="00606D97" w:rsidRDefault="00217C22" w:rsidP="00802BCD">
            <w:pPr>
              <w:spacing w:before="120" w:after="120" w:line="240" w:lineRule="auto"/>
              <w:jc w:val="both"/>
              <w:rPr>
                <w:rFonts w:ascii="Verdana" w:eastAsia="Times New Roman" w:hAnsi="Verdana"/>
                <w:color w:val="000000"/>
                <w:sz w:val="20"/>
                <w:szCs w:val="20"/>
                <w:lang w:eastAsia="ru-RU"/>
              </w:rPr>
            </w:pPr>
            <w:r w:rsidRPr="00606D97">
              <w:rPr>
                <w:color w:val="000000" w:themeColor="text1"/>
                <w:sz w:val="24"/>
                <w:szCs w:val="24"/>
              </w:rPr>
              <w:t xml:space="preserve">Для еврооблигаций, удовлетворяющих критериям, установленным Приложением </w:t>
            </w:r>
            <w:r w:rsidR="00C71838">
              <w:rPr>
                <w:color w:val="000000" w:themeColor="text1"/>
                <w:sz w:val="24"/>
                <w:szCs w:val="24"/>
              </w:rPr>
              <w:t>30</w:t>
            </w:r>
            <w:r w:rsidR="00C71838" w:rsidRPr="00606D97">
              <w:rPr>
                <w:color w:val="000000" w:themeColor="text1"/>
                <w:sz w:val="24"/>
                <w:szCs w:val="24"/>
              </w:rPr>
              <w:t xml:space="preserve"> </w:t>
            </w:r>
            <w:r w:rsidRPr="00606D97">
              <w:rPr>
                <w:color w:val="000000" w:themeColor="text1"/>
                <w:sz w:val="24"/>
                <w:szCs w:val="24"/>
              </w:rPr>
              <w:t>– в соответствии с этим Приложением.</w:t>
            </w:r>
          </w:p>
        </w:tc>
      </w:tr>
      <w:tr w:rsidR="00217C22" w:rsidRPr="00606D97" w:rsidDel="00F930A2" w14:paraId="7FF7F43B" w14:textId="77777777" w:rsidTr="00B5414D">
        <w:trPr>
          <w:trHeight w:val="2672"/>
        </w:trPr>
        <w:tc>
          <w:tcPr>
            <w:tcW w:w="3176" w:type="dxa"/>
            <w:tcBorders>
              <w:bottom w:val="single" w:sz="4" w:space="0" w:color="auto"/>
            </w:tcBorders>
            <w:shd w:val="clear" w:color="auto" w:fill="auto"/>
          </w:tcPr>
          <w:p w14:paraId="56A0F49C" w14:textId="77777777" w:rsidR="00217C22" w:rsidRPr="00606D97" w:rsidDel="00F930A2" w:rsidRDefault="00217C22" w:rsidP="00B5414D">
            <w:pPr>
              <w:pStyle w:val="ac"/>
              <w:spacing w:after="0" w:line="240" w:lineRule="auto"/>
              <w:ind w:left="0"/>
              <w:rPr>
                <w:rFonts w:ascii="Verdana" w:hAnsi="Verdana"/>
                <w:b/>
                <w:sz w:val="18"/>
                <w:szCs w:val="20"/>
              </w:rPr>
            </w:pPr>
            <w:r w:rsidRPr="00606D97">
              <w:rPr>
                <w:rFonts w:ascii="Verdana" w:hAnsi="Verdana"/>
                <w:b/>
                <w:sz w:val="20"/>
                <w:szCs w:val="20"/>
              </w:rPr>
              <w:lastRenderedPageBreak/>
              <w:t>Ценные бумаги, для которых отсутствуют возможность оценки с использованием данных более высокого приоритета</w:t>
            </w:r>
          </w:p>
        </w:tc>
        <w:tc>
          <w:tcPr>
            <w:tcW w:w="10113" w:type="dxa"/>
            <w:tcBorders>
              <w:bottom w:val="single" w:sz="4" w:space="0" w:color="auto"/>
            </w:tcBorders>
            <w:shd w:val="clear" w:color="auto" w:fill="auto"/>
          </w:tcPr>
          <w:p w14:paraId="77D4D5AB" w14:textId="77777777" w:rsidR="00217C22" w:rsidRPr="00606D97" w:rsidRDefault="00217C22" w:rsidP="00B5414D">
            <w:pPr>
              <w:pStyle w:val="ac"/>
              <w:spacing w:after="0" w:line="240" w:lineRule="auto"/>
              <w:ind w:left="0" w:firstLine="467"/>
              <w:jc w:val="both"/>
              <w:rPr>
                <w:rFonts w:ascii="Verdana" w:hAnsi="Verdana"/>
                <w:sz w:val="20"/>
                <w:szCs w:val="20"/>
              </w:rPr>
            </w:pPr>
            <w:r w:rsidRPr="00606D97">
              <w:rPr>
                <w:rFonts w:ascii="Verdana" w:hAnsi="Verdana"/>
                <w:sz w:val="20"/>
                <w:szCs w:val="20"/>
              </w:rPr>
              <w:t xml:space="preserve">Для оценки используется стоимость, определенная на основании отчета оценщика по состоянию на дату не ранее 6 (Шесть) месяцев до даты определения СЧА и составленного не позднее 6 (Шесть) месяцев до даты определения справедливой стоимости. </w:t>
            </w:r>
          </w:p>
          <w:p w14:paraId="3B15E886" w14:textId="77777777" w:rsidR="00217C22" w:rsidRPr="00606D97" w:rsidRDefault="00217C22" w:rsidP="00B5414D">
            <w:pPr>
              <w:spacing w:before="120"/>
              <w:ind w:firstLine="426"/>
              <w:jc w:val="both"/>
              <w:rPr>
                <w:rFonts w:ascii="Verdana" w:hAnsi="Verdana"/>
                <w:sz w:val="20"/>
                <w:szCs w:val="20"/>
              </w:rPr>
            </w:pPr>
            <w:r w:rsidRPr="00606D97">
              <w:rPr>
                <w:rFonts w:ascii="Verdana" w:hAnsi="Verdana"/>
                <w:sz w:val="20"/>
                <w:szCs w:val="20"/>
              </w:rPr>
              <w:t xml:space="preserve">Использование справедливой стоимости, определенной на основании отчета оценщика, ограничивается условиями, применяемыми в случае возникновения событий, ведущих к обесценению актива в соответствии с </w:t>
            </w:r>
            <w:hyperlink w:anchor="приложение_6" w:history="1">
              <w:r w:rsidRPr="00606D97">
                <w:rPr>
                  <w:rStyle w:val="af"/>
                  <w:rFonts w:ascii="Verdana" w:hAnsi="Verdana"/>
                  <w:sz w:val="20"/>
                  <w:szCs w:val="20"/>
                </w:rPr>
                <w:t>Приложением 5</w:t>
              </w:r>
            </w:hyperlink>
            <w:r w:rsidRPr="00606D97">
              <w:rPr>
                <w:rFonts w:ascii="Verdana" w:hAnsi="Verdana"/>
                <w:sz w:val="20"/>
                <w:szCs w:val="20"/>
              </w:rPr>
              <w:t>.</w:t>
            </w:r>
          </w:p>
          <w:p w14:paraId="528629A1" w14:textId="77777777" w:rsidR="00217C22" w:rsidRPr="00606D97" w:rsidDel="00F930A2" w:rsidRDefault="00217C22" w:rsidP="00B5414D">
            <w:pPr>
              <w:spacing w:before="120" w:after="120" w:line="240" w:lineRule="auto"/>
              <w:jc w:val="both"/>
              <w:rPr>
                <w:rFonts w:ascii="Verdana" w:eastAsia="Times New Roman" w:hAnsi="Verdana"/>
                <w:color w:val="000000"/>
                <w:sz w:val="20"/>
                <w:szCs w:val="20"/>
                <w:lang w:eastAsia="ru-RU"/>
              </w:rPr>
            </w:pPr>
            <w:r w:rsidRPr="00606D97">
              <w:rPr>
                <w:color w:val="000000" w:themeColor="text1"/>
                <w:sz w:val="24"/>
                <w:szCs w:val="24"/>
              </w:rPr>
              <w:t>В максимально короткие сроки отчет оценщика необходимо переделать</w:t>
            </w:r>
            <w:r w:rsidRPr="00606D97">
              <w:rPr>
                <w:sz w:val="23"/>
                <w:szCs w:val="23"/>
              </w:rPr>
              <w:t>.</w:t>
            </w:r>
          </w:p>
        </w:tc>
      </w:tr>
      <w:tr w:rsidR="00217C22" w:rsidRPr="00606D97" w:rsidDel="00F42424" w14:paraId="16E880B0" w14:textId="77777777" w:rsidTr="00B5414D">
        <w:tc>
          <w:tcPr>
            <w:tcW w:w="13289" w:type="dxa"/>
            <w:gridSpan w:val="2"/>
            <w:tcBorders>
              <w:top w:val="single" w:sz="4" w:space="0" w:color="auto"/>
              <w:left w:val="nil"/>
              <w:bottom w:val="single" w:sz="4" w:space="0" w:color="auto"/>
              <w:right w:val="nil"/>
            </w:tcBorders>
            <w:shd w:val="clear" w:color="auto" w:fill="auto"/>
          </w:tcPr>
          <w:p w14:paraId="6661671B" w14:textId="77777777" w:rsidR="00217C22" w:rsidRPr="00606D97" w:rsidRDefault="00217C22" w:rsidP="00B5414D">
            <w:pPr>
              <w:pStyle w:val="ac"/>
              <w:spacing w:before="120" w:after="120" w:line="240" w:lineRule="auto"/>
              <w:ind w:left="0"/>
              <w:contextualSpacing w:val="0"/>
              <w:jc w:val="center"/>
              <w:rPr>
                <w:rFonts w:ascii="Verdana" w:hAnsi="Verdana"/>
                <w:bCs/>
                <w:i/>
                <w:iCs/>
                <w:color w:val="943634"/>
                <w:sz w:val="20"/>
                <w:szCs w:val="20"/>
              </w:rPr>
            </w:pPr>
          </w:p>
          <w:p w14:paraId="41BD5166" w14:textId="77777777" w:rsidR="00217C22" w:rsidRPr="00606D97" w:rsidRDefault="00217C22" w:rsidP="00B5414D">
            <w:pPr>
              <w:pStyle w:val="ac"/>
              <w:spacing w:before="120" w:after="120" w:line="240" w:lineRule="auto"/>
              <w:ind w:left="0"/>
              <w:contextualSpacing w:val="0"/>
              <w:rPr>
                <w:rFonts w:ascii="Verdana" w:hAnsi="Verdana"/>
                <w:sz w:val="20"/>
                <w:szCs w:val="20"/>
              </w:rPr>
            </w:pPr>
            <w:r w:rsidRPr="00606D97">
              <w:rPr>
                <w:rFonts w:ascii="Verdana" w:hAnsi="Verdana"/>
                <w:bCs/>
                <w:i/>
                <w:iCs/>
                <w:color w:val="943634"/>
                <w:sz w:val="20"/>
                <w:szCs w:val="20"/>
              </w:rPr>
              <w:t xml:space="preserve">Модели оценки стоимости ценных бумаг, по которым определен </w:t>
            </w:r>
            <w:r w:rsidRPr="00606D97">
              <w:rPr>
                <w:rFonts w:ascii="Verdana" w:hAnsi="Verdana"/>
                <w:b/>
                <w:bCs/>
                <w:i/>
                <w:iCs/>
                <w:color w:val="943634"/>
                <w:sz w:val="20"/>
                <w:szCs w:val="20"/>
              </w:rPr>
              <w:t>аналогичный актив</w:t>
            </w:r>
          </w:p>
        </w:tc>
      </w:tr>
      <w:tr w:rsidR="00217C22" w:rsidRPr="00606D97" w:rsidDel="00F42424" w14:paraId="315E5A10" w14:textId="77777777" w:rsidTr="00B5414D">
        <w:tc>
          <w:tcPr>
            <w:tcW w:w="3176" w:type="dxa"/>
            <w:tcBorders>
              <w:top w:val="single" w:sz="4" w:space="0" w:color="auto"/>
            </w:tcBorders>
            <w:shd w:val="clear" w:color="auto" w:fill="A6A6A6"/>
          </w:tcPr>
          <w:p w14:paraId="709D901D" w14:textId="77777777" w:rsidR="00217C22" w:rsidRPr="00606D97" w:rsidDel="00F42424" w:rsidRDefault="00217C22" w:rsidP="00B5414D">
            <w:pPr>
              <w:pStyle w:val="ac"/>
              <w:spacing w:before="120" w:after="120" w:line="240" w:lineRule="auto"/>
              <w:ind w:left="0"/>
              <w:contextualSpacing w:val="0"/>
              <w:jc w:val="center"/>
              <w:rPr>
                <w:rFonts w:ascii="Verdana" w:hAnsi="Verdana"/>
                <w:b/>
                <w:sz w:val="20"/>
                <w:szCs w:val="20"/>
              </w:rPr>
            </w:pPr>
            <w:r w:rsidRPr="00606D97" w:rsidDel="00F42424">
              <w:rPr>
                <w:rFonts w:ascii="Verdana" w:hAnsi="Verdana"/>
                <w:b/>
                <w:sz w:val="20"/>
                <w:szCs w:val="20"/>
              </w:rPr>
              <w:t>Ценные бумаги</w:t>
            </w:r>
          </w:p>
        </w:tc>
        <w:tc>
          <w:tcPr>
            <w:tcW w:w="10113" w:type="dxa"/>
            <w:tcBorders>
              <w:top w:val="single" w:sz="4" w:space="0" w:color="auto"/>
            </w:tcBorders>
            <w:shd w:val="clear" w:color="auto" w:fill="A6A6A6"/>
          </w:tcPr>
          <w:p w14:paraId="67AEA0DE" w14:textId="77777777" w:rsidR="00217C22" w:rsidRPr="00606D97" w:rsidDel="00F42424"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rsidDel="00F42424" w14:paraId="25FC745D" w14:textId="77777777" w:rsidTr="00B5414D">
        <w:tc>
          <w:tcPr>
            <w:tcW w:w="3176" w:type="dxa"/>
            <w:shd w:val="clear" w:color="auto" w:fill="auto"/>
          </w:tcPr>
          <w:p w14:paraId="0BB1E37E" w14:textId="77777777" w:rsidR="00217C22" w:rsidRPr="00606D97" w:rsidDel="00F42424" w:rsidRDefault="00217C22" w:rsidP="00B5414D">
            <w:pPr>
              <w:pStyle w:val="ac"/>
              <w:spacing w:after="0" w:line="240" w:lineRule="auto"/>
              <w:ind w:left="0"/>
              <w:rPr>
                <w:rFonts w:ascii="Verdana" w:hAnsi="Verdana"/>
                <w:b/>
                <w:sz w:val="18"/>
                <w:szCs w:val="20"/>
              </w:rPr>
            </w:pPr>
            <w:r w:rsidRPr="00606D97" w:rsidDel="00F42424">
              <w:rPr>
                <w:rFonts w:ascii="Verdana" w:hAnsi="Verdana"/>
                <w:b/>
                <w:sz w:val="18"/>
                <w:szCs w:val="20"/>
              </w:rPr>
              <w:t>Ценная бумага является дополнительным выпуском</w:t>
            </w:r>
          </w:p>
        </w:tc>
        <w:tc>
          <w:tcPr>
            <w:tcW w:w="10113" w:type="dxa"/>
            <w:shd w:val="clear" w:color="auto" w:fill="auto"/>
          </w:tcPr>
          <w:p w14:paraId="42711DC8" w14:textId="77777777" w:rsidR="00217C22" w:rsidRPr="00606D97" w:rsidRDefault="00217C22" w:rsidP="00B5414D">
            <w:pPr>
              <w:autoSpaceDN w:val="0"/>
              <w:adjustRightInd w:val="0"/>
              <w:jc w:val="both"/>
              <w:rPr>
                <w:rFonts w:ascii="Verdana" w:hAnsi="Verdana"/>
                <w:sz w:val="20"/>
                <w:szCs w:val="20"/>
              </w:rPr>
            </w:pPr>
            <w:r w:rsidRPr="00606D97">
              <w:rPr>
                <w:rFonts w:ascii="Verdana" w:hAnsi="Verdana"/>
                <w:sz w:val="20"/>
                <w:szCs w:val="20"/>
              </w:rPr>
              <w:t>В случае невозможности определить в общем порядке справедливую стоимость ценных бумаг дополнительного выпуска, она признаётся равной:</w:t>
            </w:r>
          </w:p>
          <w:p w14:paraId="089066AA" w14:textId="77777777" w:rsidR="00217C22" w:rsidRPr="00606D97" w:rsidRDefault="00217C22" w:rsidP="00217C22">
            <w:pPr>
              <w:pStyle w:val="5"/>
              <w:numPr>
                <w:ilvl w:val="0"/>
                <w:numId w:val="45"/>
              </w:numPr>
              <w:ind w:left="746"/>
              <w:rPr>
                <w:rFonts w:ascii="Verdana" w:eastAsia="Calibri" w:hAnsi="Verdana"/>
                <w:color w:val="auto"/>
                <w:sz w:val="20"/>
                <w:szCs w:val="20"/>
              </w:rPr>
            </w:pPr>
            <w:r w:rsidRPr="00606D97">
              <w:rPr>
                <w:rFonts w:ascii="Verdana" w:eastAsia="Calibri" w:hAnsi="Verdana"/>
                <w:color w:val="auto"/>
                <w:sz w:val="20"/>
                <w:szCs w:val="20"/>
              </w:rPr>
              <w:t xml:space="preserve">Справедливая стоимость акций дополнительного выпуска, включенных в состав активов Фонда в результате размещения этих ценных бумаг путем распределения среди акционеров или путем конвертации в них конвертируемых ценных бумаг, признается равной справедливой стоимости долевых ценных бумаг выпуска, по отношению к которому такой выпуск является дополнительным. </w:t>
            </w:r>
          </w:p>
          <w:p w14:paraId="26BF358A" w14:textId="77777777" w:rsidR="00217C22" w:rsidRPr="00606D97" w:rsidRDefault="00217C22" w:rsidP="00217C22">
            <w:pPr>
              <w:pStyle w:val="5"/>
              <w:numPr>
                <w:ilvl w:val="0"/>
                <w:numId w:val="45"/>
              </w:numPr>
              <w:ind w:left="746"/>
              <w:rPr>
                <w:rFonts w:ascii="Verdana" w:eastAsia="Calibri" w:hAnsi="Verdana"/>
                <w:color w:val="auto"/>
                <w:sz w:val="20"/>
                <w:szCs w:val="20"/>
              </w:rPr>
            </w:pPr>
            <w:r w:rsidRPr="00606D97">
              <w:rPr>
                <w:rFonts w:ascii="Verdana" w:eastAsia="Calibri" w:hAnsi="Verdana"/>
                <w:color w:val="auto"/>
                <w:sz w:val="20"/>
                <w:szCs w:val="20"/>
              </w:rPr>
              <w:t>Справедливая стоимость акций дополнительного выпуска, включенных в состав активов Фонда в результате конвертации в эти ценные бумаги акций, принадлежащих Фонду, при реорганизации в форме присоединения, признается равной справедливой стоимости акций выпуска, по отношению к которому такой выпуск является дополнительным.</w:t>
            </w:r>
          </w:p>
          <w:p w14:paraId="1075C84D" w14:textId="77777777" w:rsidR="00217C22" w:rsidRPr="00606D97" w:rsidRDefault="00217C22" w:rsidP="00217C22">
            <w:pPr>
              <w:pStyle w:val="5"/>
              <w:numPr>
                <w:ilvl w:val="0"/>
                <w:numId w:val="45"/>
              </w:numPr>
              <w:ind w:left="746"/>
              <w:rPr>
                <w:rFonts w:ascii="Verdana" w:eastAsia="Calibri" w:hAnsi="Verdana"/>
                <w:color w:val="auto"/>
                <w:sz w:val="20"/>
                <w:szCs w:val="20"/>
              </w:rPr>
            </w:pPr>
            <w:r w:rsidRPr="00606D97">
              <w:rPr>
                <w:rFonts w:ascii="Verdana" w:eastAsia="Calibri" w:hAnsi="Verdana"/>
                <w:color w:val="auto"/>
                <w:sz w:val="20"/>
                <w:szCs w:val="20"/>
              </w:rPr>
              <w:t xml:space="preserve">Справедливая стоимость облигаций дополнительного выпуска, включенных в состав активов Фонда в результате размещения путем конвертации в них конвертируемых облигаций, принадлежащих Фонду, признается равной справедливой стоимости облигаций выпуска, по отношению к которому такой выпуск является дополнительным. </w:t>
            </w:r>
          </w:p>
          <w:p w14:paraId="1191EB4C" w14:textId="77777777" w:rsidR="00217C22" w:rsidRPr="00606D97" w:rsidDel="00F42424" w:rsidRDefault="00217C22" w:rsidP="00B5414D">
            <w:pPr>
              <w:spacing w:before="120" w:after="120" w:line="240" w:lineRule="auto"/>
              <w:ind w:left="34"/>
              <w:jc w:val="both"/>
              <w:rPr>
                <w:rFonts w:ascii="Verdana" w:hAnsi="Verdana"/>
                <w:sz w:val="20"/>
                <w:szCs w:val="20"/>
              </w:rPr>
            </w:pPr>
            <w:r w:rsidRPr="00606D97">
              <w:rPr>
                <w:rFonts w:ascii="Verdana" w:hAnsi="Verdana"/>
                <w:sz w:val="20"/>
                <w:szCs w:val="20"/>
              </w:rPr>
              <w:t>В случае невозможности правильно определить справедливую стоимость в соответствии с вышеуказанным порядком, она определяется на основании отчёта оценщика.</w:t>
            </w:r>
          </w:p>
        </w:tc>
      </w:tr>
      <w:tr w:rsidR="00217C22" w:rsidRPr="00606D97" w:rsidDel="00F42424" w14:paraId="0322810D" w14:textId="77777777" w:rsidTr="00B5414D">
        <w:tc>
          <w:tcPr>
            <w:tcW w:w="3176" w:type="dxa"/>
            <w:shd w:val="clear" w:color="auto" w:fill="auto"/>
          </w:tcPr>
          <w:p w14:paraId="6108DEA3" w14:textId="77777777" w:rsidR="00217C22" w:rsidRPr="00606D97" w:rsidDel="00F42424" w:rsidRDefault="00217C22" w:rsidP="00B5414D">
            <w:pPr>
              <w:pStyle w:val="ac"/>
              <w:spacing w:after="0" w:line="240" w:lineRule="auto"/>
              <w:ind w:left="0"/>
              <w:rPr>
                <w:rFonts w:ascii="Verdana" w:hAnsi="Verdana"/>
                <w:b/>
                <w:sz w:val="18"/>
                <w:szCs w:val="20"/>
              </w:rPr>
            </w:pPr>
            <w:r w:rsidRPr="00606D97">
              <w:rPr>
                <w:rFonts w:ascii="Verdana" w:hAnsi="Verdana"/>
                <w:b/>
                <w:sz w:val="18"/>
                <w:szCs w:val="20"/>
              </w:rPr>
              <w:lastRenderedPageBreak/>
              <w:t>Ценные бумаги, приобретенные при размещении</w:t>
            </w:r>
          </w:p>
        </w:tc>
        <w:tc>
          <w:tcPr>
            <w:tcW w:w="10113" w:type="dxa"/>
            <w:shd w:val="clear" w:color="auto" w:fill="auto"/>
          </w:tcPr>
          <w:p w14:paraId="2C51FEAA"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Для определения справедливой стоимости облигаций при размещении используется цена размещения, скорректированная пропорционально изменению значения безрисковой ставки доходности страны риска на срок, соответствующий сроку до даты погашения (оферты) ценной бумаги. Такая корректировка применяется с даты, следующей за датой размещения. Справедливая стоимость долговой ценной бумаги определяется с учетом накопленного купонного дохода на дату определения СЧА.</w:t>
            </w:r>
          </w:p>
          <w:p w14:paraId="60A3855D"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В качестве безрисковой ставки доходности страны риска используются:</w:t>
            </w:r>
          </w:p>
          <w:p w14:paraId="7C40372B" w14:textId="77777777" w:rsidR="00217C22" w:rsidRPr="00606D97" w:rsidRDefault="00217C22" w:rsidP="00217C22">
            <w:pPr>
              <w:pStyle w:val="ac"/>
              <w:numPr>
                <w:ilvl w:val="0"/>
                <w:numId w:val="87"/>
              </w:numPr>
              <w:spacing w:after="0" w:line="360" w:lineRule="auto"/>
              <w:ind w:left="0" w:firstLine="709"/>
              <w:jc w:val="both"/>
              <w:rPr>
                <w:rFonts w:ascii="Verdana" w:hAnsi="Verdana"/>
                <w:sz w:val="20"/>
                <w:szCs w:val="20"/>
              </w:rPr>
            </w:pPr>
            <w:r w:rsidRPr="00606D97">
              <w:rPr>
                <w:rFonts w:ascii="Verdana" w:hAnsi="Verdana"/>
                <w:sz w:val="20"/>
                <w:szCs w:val="20"/>
              </w:rPr>
              <w:t xml:space="preserve"> Для ценных бумаг, номинированных в российских рублях – ставка кривой бескупонной доходности Московской биржи</w:t>
            </w:r>
            <w:r w:rsidRPr="00606D97">
              <w:rPr>
                <w:rStyle w:val="af4"/>
                <w:rFonts w:ascii="Verdana" w:hAnsi="Verdana"/>
              </w:rPr>
              <w:footnoteReference w:id="3"/>
            </w:r>
            <w:r w:rsidRPr="00606D97">
              <w:rPr>
                <w:rFonts w:ascii="Verdana" w:hAnsi="Verdana"/>
                <w:sz w:val="20"/>
                <w:szCs w:val="20"/>
              </w:rPr>
              <w:t xml:space="preserve"> </w:t>
            </w:r>
          </w:p>
          <w:p w14:paraId="46916C86" w14:textId="77777777" w:rsidR="00217C22" w:rsidRPr="00606D97" w:rsidRDefault="00217C22" w:rsidP="00217C22">
            <w:pPr>
              <w:pStyle w:val="ac"/>
              <w:numPr>
                <w:ilvl w:val="0"/>
                <w:numId w:val="87"/>
              </w:numPr>
              <w:spacing w:after="0" w:line="360" w:lineRule="auto"/>
              <w:ind w:left="0" w:firstLine="709"/>
              <w:jc w:val="both"/>
              <w:rPr>
                <w:rFonts w:ascii="Verdana" w:hAnsi="Verdana"/>
                <w:sz w:val="20"/>
                <w:szCs w:val="20"/>
              </w:rPr>
            </w:pPr>
            <w:r w:rsidRPr="00606D97">
              <w:rPr>
                <w:rFonts w:ascii="Verdana" w:hAnsi="Verdana"/>
                <w:sz w:val="20"/>
                <w:szCs w:val="20"/>
              </w:rPr>
              <w:t xml:space="preserve"> Для ценных бумаг, номинированных в американских долларах - ставка, по американским государственным облигациям</w:t>
            </w:r>
            <w:r w:rsidRPr="00606D97">
              <w:rPr>
                <w:rStyle w:val="af4"/>
                <w:rFonts w:ascii="Verdana" w:hAnsi="Verdana"/>
              </w:rPr>
              <w:footnoteReference w:id="4"/>
            </w:r>
            <w:r w:rsidRPr="00606D97">
              <w:rPr>
                <w:rFonts w:ascii="Verdana" w:hAnsi="Verdana"/>
                <w:sz w:val="20"/>
                <w:szCs w:val="20"/>
              </w:rPr>
              <w:t xml:space="preserve"> </w:t>
            </w:r>
          </w:p>
          <w:p w14:paraId="53FD2CEA" w14:textId="77777777" w:rsidR="00217C22" w:rsidRPr="00606D97" w:rsidRDefault="00217C22" w:rsidP="00217C22">
            <w:pPr>
              <w:pStyle w:val="ac"/>
              <w:numPr>
                <w:ilvl w:val="0"/>
                <w:numId w:val="87"/>
              </w:numPr>
              <w:spacing w:after="0" w:line="360" w:lineRule="auto"/>
              <w:ind w:left="0" w:firstLine="709"/>
              <w:rPr>
                <w:rFonts w:ascii="Verdana" w:hAnsi="Verdana"/>
                <w:sz w:val="20"/>
                <w:szCs w:val="20"/>
              </w:rPr>
            </w:pPr>
            <w:r w:rsidRPr="00606D97">
              <w:rPr>
                <w:rFonts w:ascii="Verdana" w:hAnsi="Verdana"/>
                <w:sz w:val="20"/>
                <w:szCs w:val="20"/>
              </w:rPr>
              <w:t xml:space="preserve"> Для ценных бумаг, номинированных в евро - ставка, облигациям с рейтингом ААА Еврозоны</w:t>
            </w:r>
            <w:r w:rsidRPr="00606D97">
              <w:rPr>
                <w:rStyle w:val="af4"/>
                <w:rFonts w:ascii="Verdana" w:hAnsi="Verdana"/>
              </w:rPr>
              <w:footnoteReference w:id="5"/>
            </w:r>
            <w:r w:rsidRPr="00606D97">
              <w:rPr>
                <w:rFonts w:ascii="Verdana" w:hAnsi="Verdana"/>
                <w:sz w:val="20"/>
                <w:szCs w:val="20"/>
              </w:rPr>
              <w:t xml:space="preserve"> </w:t>
            </w:r>
          </w:p>
          <w:p w14:paraId="32B0FDDA"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Для расчета выбирается соответствующая раскрытая ставка на срок, максимально приближенный к сроку до даты погашения (или до ближайшей даты оферты, предусматривающей погашение, в случае, если она предусмотрена условиями выпуска).</w:t>
            </w:r>
          </w:p>
          <w:p w14:paraId="4B075CCD"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Расчет пропорциональной корректировки цены размещения на изменение значения безрисковой ставки доходности страны риска определяется следующим образом:</w:t>
            </w:r>
          </w:p>
          <w:p w14:paraId="747FFEAF" w14:textId="77777777" w:rsidR="00217C22" w:rsidRPr="00606D97" w:rsidRDefault="00217C22" w:rsidP="00B5414D">
            <w:pPr>
              <w:pStyle w:val="ac"/>
              <w:spacing w:before="120" w:after="120" w:line="240" w:lineRule="auto"/>
              <w:ind w:left="0"/>
              <w:jc w:val="both"/>
              <w:rPr>
                <w:rFonts w:ascii="Verdana" w:hAnsi="Verdana"/>
                <w:sz w:val="20"/>
                <w:szCs w:val="20"/>
              </w:rPr>
            </w:pPr>
          </w:p>
          <w:p w14:paraId="6D5A7416" w14:textId="77777777" w:rsidR="00217C22" w:rsidRPr="00606D97" w:rsidRDefault="00A3154D" w:rsidP="00B5414D">
            <w:pPr>
              <w:pStyle w:val="ac"/>
              <w:spacing w:before="120" w:after="120" w:line="240" w:lineRule="auto"/>
              <w:ind w:left="0"/>
              <w:jc w:val="center"/>
              <w:rPr>
                <w:rFonts w:ascii="Verdana" w:hAnsi="Verdana"/>
                <w:sz w:val="20"/>
                <w:szCs w:val="20"/>
                <w:lang w:val="en-US"/>
              </w:rPr>
            </w:pPr>
            <m:oMathPara>
              <m:oMath>
                <m:sSub>
                  <m:sSubPr>
                    <m:ctrlPr>
                      <w:rPr>
                        <w:rFonts w:ascii="Cambria Math" w:hAnsi="Cambria Math"/>
                        <w:sz w:val="24"/>
                        <w:szCs w:val="24"/>
                      </w:rPr>
                    </m:ctrlPr>
                  </m:sSubPr>
                  <m:e>
                    <m:r>
                      <m:rPr>
                        <m:sty m:val="p"/>
                      </m:rPr>
                      <w:rPr>
                        <w:rFonts w:ascii="Cambria Math" w:hAnsi="Cambria Math"/>
                        <w:sz w:val="24"/>
                        <w:szCs w:val="24"/>
                      </w:rPr>
                      <m:t>PV</m:t>
                    </m:r>
                  </m:e>
                  <m:sub>
                    <m:r>
                      <m:rPr>
                        <m:sty m:val="p"/>
                      </m:rPr>
                      <w:rPr>
                        <w:rFonts w:ascii="Cambria Math" w:hAnsi="Cambria Math"/>
                        <w:sz w:val="24"/>
                        <w:szCs w:val="24"/>
                      </w:rPr>
                      <m:t>t</m:t>
                    </m:r>
                  </m:sub>
                </m:sSub>
                <m:r>
                  <m:rPr>
                    <m:sty m:val="p"/>
                  </m:rPr>
                  <w:rPr>
                    <w:rFonts w:ascii="Cambria Math" w:hAnsi="Cambria Math"/>
                    <w:sz w:val="24"/>
                    <w:szCs w:val="24"/>
                  </w:rPr>
                  <m:t>= Price ∙</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(1+Rf</m:t>
                        </m:r>
                      </m:e>
                      <m:sub>
                        <m:r>
                          <m:rPr>
                            <m:sty m:val="p"/>
                          </m:rPr>
                          <w:rPr>
                            <w:rFonts w:ascii="Cambria Math" w:hAnsi="Cambria Math"/>
                            <w:sz w:val="24"/>
                            <w:szCs w:val="24"/>
                          </w:rPr>
                          <m:t>t0</m:t>
                        </m:r>
                      </m:sub>
                    </m:sSub>
                    <m:r>
                      <w:rPr>
                        <w:rFonts w:ascii="Cambria Math" w:hAnsi="Cambria Math"/>
                        <w:sz w:val="24"/>
                        <w:szCs w:val="24"/>
                      </w:rPr>
                      <m:t>*(</m:t>
                    </m:r>
                    <m:r>
                      <w:rPr>
                        <w:rFonts w:ascii="Cambria Math" w:hAnsi="Cambria Math"/>
                        <w:sz w:val="24"/>
                        <w:szCs w:val="24"/>
                        <w:lang w:val="en-US"/>
                      </w:rPr>
                      <m:t>T-t))</m:t>
                    </m:r>
                  </m:num>
                  <m:den>
                    <m:r>
                      <w:rPr>
                        <w:rFonts w:ascii="Cambria Math" w:hAnsi="Cambria Math"/>
                        <w:sz w:val="24"/>
                        <w:szCs w:val="24"/>
                      </w:rPr>
                      <m:t>(1+</m:t>
                    </m:r>
                    <m:sSub>
                      <m:sSubPr>
                        <m:ctrlPr>
                          <w:rPr>
                            <w:rFonts w:ascii="Cambria Math" w:hAnsi="Cambria Math"/>
                            <w:sz w:val="24"/>
                            <w:szCs w:val="24"/>
                          </w:rPr>
                        </m:ctrlPr>
                      </m:sSubPr>
                      <m:e>
                        <m:r>
                          <m:rPr>
                            <m:sty m:val="p"/>
                          </m:rPr>
                          <w:rPr>
                            <w:rFonts w:ascii="Cambria Math" w:hAnsi="Cambria Math"/>
                            <w:sz w:val="24"/>
                            <w:szCs w:val="24"/>
                          </w:rPr>
                          <m:t>Rf</m:t>
                        </m:r>
                      </m:e>
                      <m:sub>
                        <m:r>
                          <m:rPr>
                            <m:sty m:val="p"/>
                          </m:rPr>
                          <w:rPr>
                            <w:rFonts w:ascii="Cambria Math" w:hAnsi="Cambria Math"/>
                            <w:sz w:val="24"/>
                            <w:szCs w:val="24"/>
                          </w:rPr>
                          <m:t>t</m:t>
                        </m:r>
                      </m:sub>
                    </m:sSub>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lang w:val="en-US"/>
                          </w:rPr>
                          <m:t>T-t</m:t>
                        </m:r>
                        <m:ctrlPr>
                          <w:rPr>
                            <w:rFonts w:ascii="Cambria Math" w:hAnsi="Cambria Math"/>
                            <w:i/>
                            <w:sz w:val="24"/>
                            <w:szCs w:val="24"/>
                            <w:lang w:val="en-US"/>
                          </w:rPr>
                        </m:ctrlPr>
                      </m:e>
                    </m:d>
                    <m:r>
                      <w:rPr>
                        <w:rFonts w:ascii="Cambria Math" w:hAnsi="Cambria Math"/>
                        <w:sz w:val="24"/>
                        <w:szCs w:val="24"/>
                        <w:lang w:val="en-US"/>
                      </w:rPr>
                      <m:t>)</m:t>
                    </m:r>
                  </m:den>
                </m:f>
              </m:oMath>
            </m:oMathPara>
          </w:p>
          <w:p w14:paraId="42245B37"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Где</w:t>
            </w:r>
          </w:p>
          <w:p w14:paraId="07CC2420" w14:textId="77777777" w:rsidR="00217C22" w:rsidRPr="00606D97" w:rsidRDefault="00A3154D" w:rsidP="00B5414D">
            <w:pPr>
              <w:pStyle w:val="ac"/>
              <w:spacing w:before="120" w:after="120" w:line="240" w:lineRule="auto"/>
              <w:ind w:left="0"/>
              <w:jc w:val="both"/>
              <w:rPr>
                <w:rFonts w:ascii="Verdana" w:hAnsi="Verdana"/>
                <w:sz w:val="20"/>
                <w:szCs w:val="20"/>
              </w:rPr>
            </w:pPr>
            <m:oMath>
              <m:sSub>
                <m:sSubPr>
                  <m:ctrlPr>
                    <w:rPr>
                      <w:rFonts w:ascii="Cambria Math" w:hAnsi="Cambria Math"/>
                      <w:i/>
                      <w:sz w:val="24"/>
                    </w:rPr>
                  </m:ctrlPr>
                </m:sSubPr>
                <m:e>
                  <m:r>
                    <w:rPr>
                      <w:rFonts w:ascii="Cambria Math" w:hAnsi="Cambria Math"/>
                      <w:sz w:val="24"/>
                      <w:szCs w:val="20"/>
                    </w:rPr>
                    <m:t>PV</m:t>
                  </m:r>
                </m:e>
                <m:sub>
                  <m:r>
                    <w:rPr>
                      <w:rFonts w:ascii="Cambria Math" w:hAnsi="Cambria Math"/>
                      <w:sz w:val="24"/>
                      <w:szCs w:val="20"/>
                    </w:rPr>
                    <m:t>t</m:t>
                  </m:r>
                </m:sub>
              </m:sSub>
            </m:oMath>
            <w:r w:rsidR="00217C22" w:rsidRPr="00606D97">
              <w:rPr>
                <w:rFonts w:ascii="Verdana" w:hAnsi="Verdana"/>
                <w:sz w:val="28"/>
                <w:szCs w:val="20"/>
              </w:rPr>
              <w:t xml:space="preserve"> </w:t>
            </w:r>
            <w:r w:rsidR="00217C22" w:rsidRPr="00606D97">
              <w:rPr>
                <w:rFonts w:ascii="Verdana" w:hAnsi="Verdana"/>
                <w:sz w:val="20"/>
                <w:szCs w:val="20"/>
              </w:rPr>
              <w:t>– справедливая стоимость ценной бумаги на дату оценки</w:t>
            </w:r>
          </w:p>
          <w:p w14:paraId="3D929C9E" w14:textId="77777777" w:rsidR="00217C22" w:rsidRPr="00606D97" w:rsidRDefault="00217C22" w:rsidP="00B5414D">
            <w:pPr>
              <w:pStyle w:val="ac"/>
              <w:spacing w:before="120" w:after="120" w:line="240" w:lineRule="auto"/>
              <w:ind w:left="0"/>
              <w:jc w:val="both"/>
              <w:rPr>
                <w:rFonts w:ascii="Verdana" w:hAnsi="Verdana"/>
                <w:sz w:val="20"/>
                <w:szCs w:val="20"/>
              </w:rPr>
            </w:pPr>
            <m:oMath>
              <m:r>
                <w:rPr>
                  <w:rFonts w:ascii="Cambria Math" w:hAnsi="Cambria Math"/>
                  <w:szCs w:val="20"/>
                </w:rPr>
                <m:t>Price</m:t>
              </m:r>
            </m:oMath>
            <w:r w:rsidRPr="00606D97">
              <w:rPr>
                <w:rFonts w:ascii="Verdana" w:hAnsi="Verdana"/>
                <w:sz w:val="28"/>
                <w:szCs w:val="20"/>
              </w:rPr>
              <w:t xml:space="preserve"> </w:t>
            </w:r>
            <w:r w:rsidRPr="00606D97">
              <w:rPr>
                <w:rFonts w:ascii="Verdana" w:hAnsi="Verdana"/>
                <w:sz w:val="20"/>
                <w:szCs w:val="20"/>
              </w:rPr>
              <w:t>– цена размещения ценной бумаги</w:t>
            </w:r>
          </w:p>
          <w:p w14:paraId="3C8F2DB1" w14:textId="77777777" w:rsidR="00217C22" w:rsidRPr="00606D97" w:rsidRDefault="00A3154D" w:rsidP="00B5414D">
            <w:pPr>
              <w:pStyle w:val="ac"/>
              <w:spacing w:before="120" w:after="120" w:line="240" w:lineRule="auto"/>
              <w:ind w:left="0"/>
              <w:jc w:val="both"/>
              <w:rPr>
                <w:rFonts w:ascii="Verdana" w:hAnsi="Verdana"/>
                <w:sz w:val="20"/>
                <w:szCs w:val="20"/>
              </w:rPr>
            </w:pPr>
            <m:oMath>
              <m:sSub>
                <m:sSubPr>
                  <m:ctrlPr>
                    <w:rPr>
                      <w:rFonts w:ascii="Cambria Math" w:hAnsi="Cambria Math"/>
                      <w:i/>
                      <w:sz w:val="24"/>
                      <w:lang w:val="en-US"/>
                    </w:rPr>
                  </m:ctrlPr>
                </m:sSubPr>
                <m:e>
                  <m:r>
                    <w:rPr>
                      <w:rFonts w:ascii="Cambria Math" w:hAnsi="Cambria Math"/>
                      <w:sz w:val="24"/>
                      <w:szCs w:val="20"/>
                      <w:lang w:val="en-US"/>
                    </w:rPr>
                    <m:t>Rf</m:t>
                  </m:r>
                </m:e>
                <m:sub>
                  <m:r>
                    <w:rPr>
                      <w:rFonts w:ascii="Cambria Math" w:hAnsi="Cambria Math"/>
                      <w:sz w:val="24"/>
                      <w:szCs w:val="20"/>
                      <w:lang w:val="en-US"/>
                    </w:rPr>
                    <m:t>t</m:t>
                  </m:r>
                  <m:r>
                    <w:rPr>
                      <w:rFonts w:ascii="Cambria Math" w:hAnsi="Cambria Math"/>
                      <w:sz w:val="24"/>
                      <w:szCs w:val="20"/>
                    </w:rPr>
                    <m:t>0</m:t>
                  </m:r>
                </m:sub>
              </m:sSub>
            </m:oMath>
            <w:r w:rsidR="00217C22" w:rsidRPr="00606D97">
              <w:rPr>
                <w:rFonts w:ascii="Verdana" w:hAnsi="Verdana"/>
                <w:sz w:val="28"/>
                <w:szCs w:val="20"/>
              </w:rPr>
              <w:t xml:space="preserve"> </w:t>
            </w:r>
            <w:r w:rsidR="00217C22" w:rsidRPr="00606D97">
              <w:rPr>
                <w:rFonts w:ascii="Verdana" w:hAnsi="Verdana"/>
                <w:sz w:val="20"/>
                <w:szCs w:val="20"/>
              </w:rPr>
              <w:t xml:space="preserve">– безрисковая ставка на дату размещения ценной бумаги на срок до погашения (оферты) </w:t>
            </w:r>
          </w:p>
          <w:p w14:paraId="5BD8C667" w14:textId="77777777" w:rsidR="00217C22" w:rsidRPr="00606D97" w:rsidRDefault="00A3154D" w:rsidP="00B5414D">
            <w:pPr>
              <w:pStyle w:val="ac"/>
              <w:spacing w:before="120" w:after="120" w:line="240" w:lineRule="auto"/>
              <w:ind w:left="0"/>
              <w:jc w:val="both"/>
              <w:rPr>
                <w:rFonts w:ascii="Verdana" w:hAnsi="Verdana"/>
                <w:sz w:val="20"/>
                <w:szCs w:val="20"/>
              </w:rPr>
            </w:pPr>
            <m:oMath>
              <m:sSub>
                <m:sSubPr>
                  <m:ctrlPr>
                    <w:rPr>
                      <w:rFonts w:ascii="Cambria Math" w:hAnsi="Cambria Math"/>
                      <w:i/>
                      <w:sz w:val="24"/>
                    </w:rPr>
                  </m:ctrlPr>
                </m:sSubPr>
                <m:e>
                  <m:r>
                    <w:rPr>
                      <w:rFonts w:ascii="Cambria Math" w:hAnsi="Cambria Math"/>
                      <w:szCs w:val="20"/>
                    </w:rPr>
                    <m:t>Rf</m:t>
                  </m:r>
                </m:e>
                <m:sub>
                  <m:r>
                    <w:rPr>
                      <w:rFonts w:ascii="Cambria Math" w:hAnsi="Cambria Math"/>
                      <w:sz w:val="24"/>
                      <w:szCs w:val="20"/>
                      <w:lang w:val="en-US"/>
                    </w:rPr>
                    <m:t>t</m:t>
                  </m:r>
                </m:sub>
              </m:sSub>
            </m:oMath>
            <w:r w:rsidR="00217C22" w:rsidRPr="00606D97">
              <w:rPr>
                <w:rFonts w:ascii="Verdana" w:hAnsi="Verdana"/>
                <w:sz w:val="28"/>
                <w:szCs w:val="20"/>
              </w:rPr>
              <w:t xml:space="preserve"> </w:t>
            </w:r>
            <w:r w:rsidR="00217C22" w:rsidRPr="00606D97">
              <w:rPr>
                <w:rFonts w:ascii="Verdana" w:hAnsi="Verdana"/>
                <w:sz w:val="20"/>
                <w:szCs w:val="20"/>
              </w:rPr>
              <w:t>– безрисковая ставка на дату оценки на срок до погашения (оферты)</w:t>
            </w:r>
          </w:p>
          <w:p w14:paraId="264034DC" w14:textId="77777777" w:rsidR="00217C22" w:rsidRPr="00606D97" w:rsidRDefault="00217C22" w:rsidP="00B5414D">
            <w:pPr>
              <w:pStyle w:val="ac"/>
              <w:spacing w:before="120" w:after="120"/>
              <w:ind w:left="0"/>
              <w:jc w:val="both"/>
              <w:rPr>
                <w:rFonts w:ascii="Verdana" w:hAnsi="Verdana"/>
                <w:sz w:val="20"/>
                <w:szCs w:val="20"/>
              </w:rPr>
            </w:pPr>
            <m:oMath>
              <m:r>
                <w:rPr>
                  <w:rFonts w:ascii="Cambria Math" w:hAnsi="Cambria Math"/>
                  <w:sz w:val="24"/>
                  <w:szCs w:val="24"/>
                  <w:lang w:val="en-US"/>
                </w:rPr>
                <m:t>T</m:t>
              </m:r>
            </m:oMath>
            <w:r w:rsidRPr="00606D97">
              <w:rPr>
                <w:rFonts w:ascii="Verdana" w:hAnsi="Verdana"/>
                <w:sz w:val="20"/>
                <w:szCs w:val="20"/>
              </w:rPr>
              <w:t xml:space="preserve"> – дата погашения (оферты)</w:t>
            </w:r>
          </w:p>
          <w:p w14:paraId="0838B4CA" w14:textId="77777777" w:rsidR="00217C22" w:rsidRPr="00606D97" w:rsidRDefault="00217C22" w:rsidP="00B5414D">
            <w:pPr>
              <w:pStyle w:val="ac"/>
              <w:spacing w:before="120" w:after="120"/>
              <w:ind w:left="0"/>
              <w:jc w:val="both"/>
              <w:rPr>
                <w:rFonts w:ascii="Verdana" w:hAnsi="Verdana"/>
                <w:sz w:val="20"/>
                <w:szCs w:val="20"/>
              </w:rPr>
            </w:pPr>
            <m:oMath>
              <m:r>
                <w:rPr>
                  <w:rFonts w:ascii="Cambria Math" w:hAnsi="Cambria Math"/>
                  <w:sz w:val="24"/>
                  <w:szCs w:val="24"/>
                  <w:lang w:val="en-US"/>
                </w:rPr>
                <m:t>t</m:t>
              </m:r>
            </m:oMath>
            <w:r w:rsidRPr="00606D97">
              <w:rPr>
                <w:rFonts w:ascii="Verdana" w:hAnsi="Verdana"/>
                <w:sz w:val="24"/>
                <w:szCs w:val="24"/>
              </w:rPr>
              <w:t xml:space="preserve"> – </w:t>
            </w:r>
            <w:r w:rsidRPr="00606D97">
              <w:rPr>
                <w:rFonts w:ascii="Verdana" w:hAnsi="Verdana"/>
                <w:sz w:val="20"/>
                <w:szCs w:val="20"/>
              </w:rPr>
              <w:t>дата оценки</w:t>
            </w:r>
          </w:p>
          <w:p w14:paraId="027C6D32" w14:textId="77777777" w:rsidR="00217C22" w:rsidRPr="00606D97" w:rsidRDefault="00217C22" w:rsidP="00B5414D">
            <w:pPr>
              <w:pStyle w:val="ac"/>
              <w:spacing w:before="120" w:after="120" w:line="240" w:lineRule="auto"/>
              <w:ind w:left="0"/>
              <w:jc w:val="both"/>
              <w:rPr>
                <w:rFonts w:ascii="Verdana" w:hAnsi="Verdana"/>
                <w:sz w:val="20"/>
                <w:szCs w:val="20"/>
              </w:rPr>
            </w:pPr>
          </w:p>
          <w:p w14:paraId="7A75D966"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lastRenderedPageBreak/>
              <w:t>Полученная справедливая стоимость с учетом корректировки (</w:t>
            </w:r>
            <m:oMath>
              <m:sSub>
                <m:sSubPr>
                  <m:ctrlPr>
                    <w:rPr>
                      <w:rFonts w:ascii="Cambria Math" w:hAnsi="Cambria Math"/>
                      <w:i/>
                      <w:sz w:val="24"/>
                    </w:rPr>
                  </m:ctrlPr>
                </m:sSubPr>
                <m:e>
                  <m:r>
                    <w:rPr>
                      <w:rFonts w:ascii="Cambria Math" w:hAnsi="Cambria Math"/>
                      <w:sz w:val="24"/>
                      <w:szCs w:val="20"/>
                    </w:rPr>
                    <m:t>PV</m:t>
                  </m:r>
                </m:e>
                <m:sub>
                  <m:r>
                    <w:rPr>
                      <w:rFonts w:ascii="Cambria Math" w:hAnsi="Cambria Math"/>
                      <w:sz w:val="24"/>
                      <w:szCs w:val="20"/>
                    </w:rPr>
                    <m:t>t</m:t>
                  </m:r>
                </m:sub>
              </m:sSub>
            </m:oMath>
            <w:r w:rsidRPr="00606D97">
              <w:rPr>
                <w:rFonts w:ascii="Verdana" w:hAnsi="Verdana"/>
                <w:sz w:val="20"/>
                <w:szCs w:val="20"/>
              </w:rPr>
              <w:t>) округляется до двух знаков после запятой.</w:t>
            </w:r>
          </w:p>
          <w:p w14:paraId="16220DC7"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 xml:space="preserve">Указанный метод определения справедливой стоимости используется до появления цен 1-го уровня, но не более 10 рабочих дней с даты, следующей за датой размещения.  </w:t>
            </w:r>
          </w:p>
          <w:p w14:paraId="33774F1B" w14:textId="77777777" w:rsidR="00217C22" w:rsidRPr="00606D97" w:rsidRDefault="00217C22" w:rsidP="00B5414D">
            <w:pPr>
              <w:spacing w:after="0" w:line="240" w:lineRule="auto"/>
              <w:rPr>
                <w:rFonts w:ascii="Verdana" w:eastAsia="Times New Roman" w:hAnsi="Verdana"/>
                <w:iCs/>
                <w:sz w:val="20"/>
                <w:szCs w:val="20"/>
                <w:lang w:eastAsia="ru-RU"/>
              </w:rPr>
            </w:pPr>
            <w:r w:rsidRPr="00606D97">
              <w:rPr>
                <w:rFonts w:ascii="Verdana" w:hAnsi="Verdana"/>
                <w:sz w:val="20"/>
                <w:szCs w:val="20"/>
              </w:rPr>
              <w:t>С 11 дня применяется общий порядок оценки ценных бумаг на втором и третьем уровне, в случае отсутствия цен 1-го уровня.</w:t>
            </w:r>
          </w:p>
        </w:tc>
      </w:tr>
      <w:tr w:rsidR="00217C22" w:rsidRPr="00606D97" w:rsidDel="00F42424" w14:paraId="6E472F48" w14:textId="77777777" w:rsidTr="00B5414D">
        <w:tc>
          <w:tcPr>
            <w:tcW w:w="3176" w:type="dxa"/>
            <w:shd w:val="clear" w:color="auto" w:fill="auto"/>
          </w:tcPr>
          <w:p w14:paraId="5DBD72B6" w14:textId="77777777" w:rsidR="00217C22" w:rsidRPr="00606D97" w:rsidDel="00F42424" w:rsidRDefault="00217C22" w:rsidP="00B5414D">
            <w:pPr>
              <w:pStyle w:val="ac"/>
              <w:spacing w:after="0" w:line="240" w:lineRule="auto"/>
              <w:ind w:left="0"/>
              <w:rPr>
                <w:rFonts w:ascii="Verdana" w:hAnsi="Verdana"/>
                <w:b/>
                <w:sz w:val="18"/>
                <w:szCs w:val="20"/>
              </w:rPr>
            </w:pPr>
            <w:r w:rsidRPr="00606D97">
              <w:rPr>
                <w:b/>
                <w:color w:val="000000" w:themeColor="text1"/>
                <w:sz w:val="24"/>
                <w:szCs w:val="24"/>
              </w:rPr>
              <w:lastRenderedPageBreak/>
              <w:t>Ценная бумага, полученная при  распределении</w:t>
            </w:r>
          </w:p>
        </w:tc>
        <w:tc>
          <w:tcPr>
            <w:tcW w:w="10113" w:type="dxa"/>
            <w:shd w:val="clear" w:color="auto" w:fill="auto"/>
          </w:tcPr>
          <w:p w14:paraId="47E6A9A7" w14:textId="77777777" w:rsidR="00217C22" w:rsidRPr="00606D97" w:rsidRDefault="00217C22" w:rsidP="00217C22">
            <w:pPr>
              <w:numPr>
                <w:ilvl w:val="0"/>
                <w:numId w:val="24"/>
              </w:numPr>
              <w:suppressAutoHyphens/>
              <w:autoSpaceDE w:val="0"/>
              <w:autoSpaceDN w:val="0"/>
              <w:adjustRightInd w:val="0"/>
              <w:spacing w:after="0" w:line="240" w:lineRule="auto"/>
              <w:ind w:left="0"/>
              <w:jc w:val="both"/>
              <w:rPr>
                <w:color w:val="000000" w:themeColor="text1"/>
                <w:sz w:val="24"/>
                <w:szCs w:val="24"/>
              </w:rPr>
            </w:pPr>
            <w:r w:rsidRPr="00606D97">
              <w:rPr>
                <w:color w:val="000000" w:themeColor="text1"/>
                <w:sz w:val="24"/>
                <w:szCs w:val="24"/>
              </w:rPr>
              <w:t>В случае невозможности определить в общем порядке справедливую стоимость акций вновь созданного в результате реорганизации в форме выделения акционерного общества, включённых в состав Фонда в результате их распределения среди акционеров реорганизованного акционерного общества, она определяется на основании отчёта оценщика.</w:t>
            </w:r>
          </w:p>
          <w:p w14:paraId="77074DF9" w14:textId="77777777" w:rsidR="00217C22" w:rsidRPr="00606D97" w:rsidRDefault="00217C22" w:rsidP="00B5414D">
            <w:pPr>
              <w:pStyle w:val="ac"/>
              <w:spacing w:before="120" w:after="120" w:line="240" w:lineRule="auto"/>
              <w:ind w:left="34"/>
              <w:contextualSpacing w:val="0"/>
              <w:jc w:val="both"/>
              <w:rPr>
                <w:rFonts w:ascii="Verdana" w:eastAsia="Times New Roman" w:hAnsi="Verdana"/>
                <w:iCs/>
                <w:sz w:val="20"/>
                <w:szCs w:val="20"/>
                <w:lang w:eastAsia="ru-RU"/>
              </w:rPr>
            </w:pPr>
          </w:p>
        </w:tc>
      </w:tr>
      <w:tr w:rsidR="00217C22" w:rsidRPr="00606D97" w:rsidDel="00F42424" w14:paraId="00C579F8" w14:textId="77777777" w:rsidTr="00B5414D">
        <w:tc>
          <w:tcPr>
            <w:tcW w:w="3176" w:type="dxa"/>
            <w:shd w:val="clear" w:color="auto" w:fill="auto"/>
          </w:tcPr>
          <w:p w14:paraId="3BEDD7AA" w14:textId="77777777" w:rsidR="00217C22" w:rsidRPr="00606D97" w:rsidDel="00F42424" w:rsidRDefault="00217C22" w:rsidP="00B5414D">
            <w:pPr>
              <w:pStyle w:val="ac"/>
              <w:spacing w:after="0" w:line="240" w:lineRule="auto"/>
              <w:ind w:left="0"/>
              <w:rPr>
                <w:rFonts w:ascii="Verdana" w:hAnsi="Verdana"/>
                <w:b/>
                <w:sz w:val="18"/>
                <w:szCs w:val="20"/>
              </w:rPr>
            </w:pPr>
            <w:r w:rsidRPr="00606D97">
              <w:rPr>
                <w:rFonts w:ascii="Verdana" w:eastAsia="Times New Roman" w:hAnsi="Verdana"/>
                <w:b/>
                <w:iCs/>
                <w:sz w:val="18"/>
                <w:szCs w:val="20"/>
                <w:lang w:eastAsia="ru-RU"/>
              </w:rPr>
              <w:t>Ц</w:t>
            </w:r>
            <w:r w:rsidRPr="00606D97" w:rsidDel="00F42424">
              <w:rPr>
                <w:rFonts w:ascii="Verdana" w:eastAsia="Times New Roman" w:hAnsi="Verdana"/>
                <w:b/>
                <w:iCs/>
                <w:sz w:val="18"/>
                <w:szCs w:val="20"/>
                <w:lang w:eastAsia="ru-RU"/>
              </w:rPr>
              <w:t>енн</w:t>
            </w:r>
            <w:r w:rsidRPr="00606D97">
              <w:rPr>
                <w:rFonts w:ascii="Verdana" w:eastAsia="Times New Roman" w:hAnsi="Verdana"/>
                <w:b/>
                <w:iCs/>
                <w:sz w:val="18"/>
                <w:szCs w:val="20"/>
                <w:lang w:eastAsia="ru-RU"/>
              </w:rPr>
              <w:t>ая</w:t>
            </w:r>
            <w:r w:rsidRPr="00606D97" w:rsidDel="00F42424">
              <w:rPr>
                <w:rFonts w:ascii="Verdana" w:eastAsia="Times New Roman" w:hAnsi="Verdana"/>
                <w:b/>
                <w:iCs/>
                <w:sz w:val="18"/>
                <w:szCs w:val="20"/>
                <w:lang w:eastAsia="ru-RU"/>
              </w:rPr>
              <w:t xml:space="preserve"> бумаг</w:t>
            </w:r>
            <w:r w:rsidRPr="00606D97">
              <w:rPr>
                <w:rFonts w:ascii="Verdana" w:eastAsia="Times New Roman" w:hAnsi="Verdana"/>
                <w:b/>
                <w:iCs/>
                <w:sz w:val="18"/>
                <w:szCs w:val="20"/>
                <w:lang w:eastAsia="ru-RU"/>
              </w:rPr>
              <w:t>а</w:t>
            </w:r>
            <w:r w:rsidRPr="00606D97" w:rsidDel="00F42424">
              <w:rPr>
                <w:rFonts w:ascii="Verdana" w:eastAsia="Times New Roman" w:hAnsi="Verdana"/>
                <w:b/>
                <w:iCs/>
                <w:sz w:val="18"/>
                <w:szCs w:val="20"/>
                <w:lang w:eastAsia="ru-RU"/>
              </w:rPr>
              <w:t>, полученн</w:t>
            </w:r>
            <w:r w:rsidRPr="00606D97">
              <w:rPr>
                <w:rFonts w:ascii="Verdana" w:eastAsia="Times New Roman" w:hAnsi="Verdana"/>
                <w:b/>
                <w:iCs/>
                <w:sz w:val="18"/>
                <w:szCs w:val="20"/>
                <w:lang w:eastAsia="ru-RU"/>
              </w:rPr>
              <w:t>ая</w:t>
            </w:r>
            <w:r w:rsidRPr="00606D97" w:rsidDel="00F42424">
              <w:rPr>
                <w:rFonts w:ascii="Verdana" w:eastAsia="Times New Roman" w:hAnsi="Verdana"/>
                <w:b/>
                <w:iCs/>
                <w:sz w:val="18"/>
                <w:szCs w:val="20"/>
                <w:lang w:eastAsia="ru-RU"/>
              </w:rPr>
              <w:t xml:space="preserve"> в результате конвертации в нее другой ценной бумаги (исходной ценной бумаги)</w:t>
            </w:r>
          </w:p>
        </w:tc>
        <w:tc>
          <w:tcPr>
            <w:tcW w:w="10113" w:type="dxa"/>
            <w:shd w:val="clear" w:color="auto" w:fill="auto"/>
          </w:tcPr>
          <w:p w14:paraId="2E776E00" w14:textId="77777777" w:rsidR="00217C22" w:rsidRPr="00606D97" w:rsidRDefault="00217C22" w:rsidP="00217C22">
            <w:pPr>
              <w:numPr>
                <w:ilvl w:val="0"/>
                <w:numId w:val="24"/>
              </w:numPr>
              <w:suppressAutoHyphens/>
              <w:autoSpaceDE w:val="0"/>
              <w:autoSpaceDN w:val="0"/>
              <w:adjustRightInd w:val="0"/>
              <w:spacing w:after="0" w:line="240" w:lineRule="auto"/>
              <w:ind w:left="0"/>
              <w:jc w:val="both"/>
              <w:rPr>
                <w:rFonts w:asciiTheme="minorHAnsi" w:hAnsiTheme="minorHAnsi"/>
                <w:sz w:val="24"/>
                <w:szCs w:val="24"/>
              </w:rPr>
            </w:pPr>
            <w:r w:rsidRPr="00606D97">
              <w:rPr>
                <w:rFonts w:asciiTheme="minorHAnsi" w:hAnsiTheme="minorHAnsi"/>
                <w:sz w:val="24"/>
                <w:szCs w:val="24"/>
              </w:rPr>
              <w:t>В случае невозможности определить в общем порядке справедливую стоимость ценных бумаг, полученных в результате конвертации, она признаётся равной:</w:t>
            </w:r>
          </w:p>
          <w:p w14:paraId="36C3B64A" w14:textId="77777777" w:rsidR="00217C22" w:rsidRPr="00606D97" w:rsidRDefault="00217C22" w:rsidP="00217C22">
            <w:pPr>
              <w:pStyle w:val="5"/>
              <w:numPr>
                <w:ilvl w:val="0"/>
                <w:numId w:val="46"/>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lastRenderedPageBreak/>
              <w:t xml:space="preserve">Справедливая стоимость акций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долевых ценных бумаг, в которое конвертирована одна конвертируемая ценная бумага. </w:t>
            </w:r>
          </w:p>
          <w:p w14:paraId="0D3508E1" w14:textId="77777777" w:rsidR="00217C22" w:rsidRPr="00606D97" w:rsidRDefault="00217C22" w:rsidP="00217C22">
            <w:pPr>
              <w:pStyle w:val="5"/>
              <w:numPr>
                <w:ilvl w:val="0"/>
                <w:numId w:val="46"/>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Справедливая стоимость акций, включенных в состав активов Фонда в результате конвертации в них акций, принадлежащих Фонду, при реорганизации в форме слияния признается равной справедливой стоимости конвертированных ценных бумаг на дату конвертации, умноженной на коэффициент конвертации.</w:t>
            </w:r>
          </w:p>
          <w:p w14:paraId="46A26AF7" w14:textId="77777777" w:rsidR="00217C22" w:rsidRPr="00606D97" w:rsidRDefault="00217C22" w:rsidP="00217C22">
            <w:pPr>
              <w:pStyle w:val="5"/>
              <w:numPr>
                <w:ilvl w:val="0"/>
                <w:numId w:val="46"/>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Справедливая стоимость акций вновь созданного в результате реорганизации в форме разделения или выделения акционерного общества, включенных в состав активов Фонда в результате конвертации в них акций, принадлежащих Фонду, признается равной справедливой стоимости конвертированных ценных бумаг на дату конвертации, деленной на коэффициент конвертации. В случае, если в результате разделения или выделения создается 2 (Два) или более акционерных общества, на коэффициент конвертации делится справедливая стоимость конвертированных ценных бумаг, уменьшенная пропорционально доле имущества реорганизованного акционерного общества, переданного акционерному обществу, созданному в результате разделения или выделения. </w:t>
            </w:r>
          </w:p>
          <w:p w14:paraId="5FEE6DA8" w14:textId="77777777" w:rsidR="00217C22" w:rsidRPr="00606D97" w:rsidRDefault="00217C22" w:rsidP="00217C22">
            <w:pPr>
              <w:pStyle w:val="5"/>
              <w:numPr>
                <w:ilvl w:val="0"/>
                <w:numId w:val="46"/>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Справедливая стоимость облигаций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облигаций, в которое конвертирована одна конвертируемая ценная бумага. </w:t>
            </w:r>
          </w:p>
          <w:p w14:paraId="58F19D65" w14:textId="77777777" w:rsidR="00217C22" w:rsidRPr="00606D97" w:rsidRDefault="00217C22" w:rsidP="00217C22">
            <w:pPr>
              <w:pStyle w:val="5"/>
              <w:numPr>
                <w:ilvl w:val="0"/>
                <w:numId w:val="46"/>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Справедливая стоимость облигаций нового выпуска, включенных в состав активов Фонда в результате конвертации в них облигаций, принадлежащих Фонду, при реорганизации эмитента таких облигаций признается равной справедливой стоимости конвертированных облигаций. </w:t>
            </w:r>
          </w:p>
          <w:p w14:paraId="483023F3" w14:textId="77777777" w:rsidR="00217C22" w:rsidRPr="00606D97" w:rsidRDefault="00217C22" w:rsidP="00217C22">
            <w:pPr>
              <w:pStyle w:val="5"/>
              <w:numPr>
                <w:ilvl w:val="0"/>
                <w:numId w:val="46"/>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Оценочной стоимостью акций с большей (меньшей) номинальной стоимостью, признанных в результате конвертации в них исходных акций, является оценочная стоимость конвертированных в них акций.</w:t>
            </w:r>
          </w:p>
          <w:p w14:paraId="79E00F92" w14:textId="77777777" w:rsidR="00217C22" w:rsidRPr="00606D97" w:rsidRDefault="00217C22" w:rsidP="00217C22">
            <w:pPr>
              <w:pStyle w:val="5"/>
              <w:numPr>
                <w:ilvl w:val="0"/>
                <w:numId w:val="46"/>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lastRenderedPageBreak/>
              <w:t xml:space="preserve">Оценочной стоимостью акций той же категории (типа) с иными правами, признанных в результате конвертации в них исходных акций, является оценочная стоимость конвертированных акций. </w:t>
            </w:r>
          </w:p>
          <w:p w14:paraId="23C23C44" w14:textId="77777777" w:rsidR="00217C22" w:rsidRPr="00606D97" w:rsidRDefault="00217C22" w:rsidP="00217C22">
            <w:pPr>
              <w:pStyle w:val="5"/>
              <w:numPr>
                <w:ilvl w:val="0"/>
                <w:numId w:val="46"/>
              </w:numPr>
              <w:ind w:left="725"/>
              <w:rPr>
                <w:rFonts w:asciiTheme="minorHAnsi" w:hAnsiTheme="minorHAnsi"/>
                <w:color w:val="000000" w:themeColor="text1"/>
                <w:sz w:val="24"/>
                <w:szCs w:val="24"/>
              </w:rPr>
            </w:pPr>
            <w:r w:rsidRPr="00606D97">
              <w:rPr>
                <w:rFonts w:asciiTheme="minorHAnsi" w:hAnsiTheme="minorHAnsi"/>
                <w:color w:val="000000" w:themeColor="text1"/>
                <w:sz w:val="24"/>
                <w:szCs w:val="24"/>
              </w:rPr>
              <w:t>Оценочной стоимостью акций, признанных в результате конвертации при дроблении исходных акций, является оценочная стоимость конвертированных акций, деленная на коэффициент дробления.</w:t>
            </w:r>
          </w:p>
          <w:p w14:paraId="6D8EC9A7" w14:textId="77777777" w:rsidR="00217C22" w:rsidRPr="00606D97" w:rsidRDefault="00217C22" w:rsidP="00217C22">
            <w:pPr>
              <w:pStyle w:val="5"/>
              <w:numPr>
                <w:ilvl w:val="0"/>
                <w:numId w:val="46"/>
              </w:numPr>
              <w:ind w:left="725"/>
              <w:rPr>
                <w:rFonts w:asciiTheme="minorHAnsi" w:hAnsiTheme="minorHAnsi"/>
                <w:color w:val="000000" w:themeColor="text1"/>
                <w:sz w:val="24"/>
                <w:szCs w:val="24"/>
              </w:rPr>
            </w:pPr>
            <w:r w:rsidRPr="00606D97">
              <w:rPr>
                <w:rFonts w:asciiTheme="minorHAnsi" w:hAnsiTheme="minorHAnsi"/>
                <w:color w:val="000000" w:themeColor="text1"/>
                <w:sz w:val="24"/>
                <w:szCs w:val="24"/>
              </w:rPr>
              <w:t xml:space="preserve">Оценочной стоимостью акций, признанных в результате конвертации при консолидации исходных акций, является оценочная стоимость конвертированных акций, умноженная на коэффициент консолидации. </w:t>
            </w:r>
          </w:p>
          <w:p w14:paraId="19DAFA6A" w14:textId="77777777" w:rsidR="00217C22" w:rsidRPr="00606D97" w:rsidDel="00F42424" w:rsidRDefault="00217C22" w:rsidP="00B5414D">
            <w:pPr>
              <w:rPr>
                <w:rFonts w:asciiTheme="minorHAnsi" w:hAnsiTheme="minorHAnsi"/>
                <w:sz w:val="24"/>
                <w:szCs w:val="24"/>
              </w:rPr>
            </w:pPr>
            <w:r w:rsidRPr="00606D97">
              <w:rPr>
                <w:rFonts w:asciiTheme="minorHAnsi" w:hAnsiTheme="minorHAnsi"/>
                <w:color w:val="000000" w:themeColor="text1"/>
                <w:sz w:val="24"/>
                <w:szCs w:val="24"/>
              </w:rPr>
              <w:t xml:space="preserve">   В случае невозможности правильно определить справедливую стоимость в соответствии с вышеуказанным порядком, она определяется на основании отчёта оценщика.</w:t>
            </w:r>
          </w:p>
        </w:tc>
      </w:tr>
      <w:tr w:rsidR="00217C22" w:rsidRPr="00606D97" w:rsidDel="00F42424" w14:paraId="34D98111" w14:textId="77777777" w:rsidTr="00B5414D">
        <w:tc>
          <w:tcPr>
            <w:tcW w:w="13289" w:type="dxa"/>
            <w:gridSpan w:val="2"/>
            <w:shd w:val="clear" w:color="auto" w:fill="auto"/>
          </w:tcPr>
          <w:p w14:paraId="32E4E12E" w14:textId="77777777" w:rsidR="00217C22" w:rsidRPr="00606D97" w:rsidRDefault="00217C22" w:rsidP="00B5414D">
            <w:pPr>
              <w:autoSpaceDN w:val="0"/>
              <w:adjustRightInd w:val="0"/>
              <w:spacing w:after="0" w:line="360" w:lineRule="auto"/>
              <w:rPr>
                <w:rFonts w:asciiTheme="minorHAnsi" w:hAnsiTheme="minorHAnsi"/>
                <w:color w:val="000000" w:themeColor="text1"/>
                <w:sz w:val="24"/>
                <w:szCs w:val="24"/>
                <w:lang w:eastAsia="ru-RU"/>
              </w:rPr>
            </w:pPr>
            <w:r w:rsidRPr="00606D97">
              <w:rPr>
                <w:rFonts w:asciiTheme="minorHAnsi" w:hAnsiTheme="minorHAnsi"/>
                <w:color w:val="000000" w:themeColor="text1"/>
                <w:sz w:val="24"/>
                <w:szCs w:val="24"/>
                <w:lang w:eastAsia="ru-RU"/>
              </w:rPr>
              <w:lastRenderedPageBreak/>
              <w:t>Примечание:</w:t>
            </w:r>
          </w:p>
          <w:p w14:paraId="119F837F" w14:textId="77777777" w:rsidR="00217C22" w:rsidRPr="00606D97" w:rsidRDefault="00217C22" w:rsidP="00B5414D">
            <w:pPr>
              <w:pStyle w:val="5"/>
              <w:numPr>
                <w:ilvl w:val="0"/>
                <w:numId w:val="0"/>
              </w:numPr>
              <w:ind w:left="1008" w:hanging="1008"/>
              <w:rPr>
                <w:rFonts w:asciiTheme="minorHAnsi" w:hAnsiTheme="minorHAnsi"/>
                <w:color w:val="000000" w:themeColor="text1"/>
                <w:sz w:val="24"/>
                <w:szCs w:val="24"/>
              </w:rPr>
            </w:pPr>
            <w:r w:rsidRPr="00606D97">
              <w:rPr>
                <w:rFonts w:asciiTheme="minorHAnsi" w:hAnsiTheme="minorHAnsi"/>
                <w:color w:val="000000" w:themeColor="text1"/>
                <w:sz w:val="24"/>
                <w:szCs w:val="24"/>
              </w:rPr>
              <w:t>Справедливая стоимость долговых ценных бумаг определяется с учетом накопленного процентного купонного дохода по этим</w:t>
            </w:r>
          </w:p>
          <w:p w14:paraId="2F845FB0" w14:textId="77777777" w:rsidR="00217C22" w:rsidRPr="00606D97" w:rsidRDefault="00217C22" w:rsidP="00B5414D">
            <w:pPr>
              <w:pStyle w:val="5"/>
              <w:numPr>
                <w:ilvl w:val="0"/>
                <w:numId w:val="0"/>
              </w:numPr>
              <w:ind w:left="37" w:hanging="37"/>
              <w:rPr>
                <w:rFonts w:asciiTheme="minorHAnsi" w:hAnsiTheme="minorHAnsi"/>
                <w:color w:val="000000" w:themeColor="text1"/>
                <w:sz w:val="24"/>
                <w:szCs w:val="24"/>
              </w:rPr>
            </w:pPr>
            <w:r w:rsidRPr="00606D97">
              <w:rPr>
                <w:rFonts w:asciiTheme="minorHAnsi" w:hAnsiTheme="minorHAnsi"/>
                <w:color w:val="000000" w:themeColor="text1"/>
                <w:sz w:val="24"/>
                <w:szCs w:val="24"/>
              </w:rPr>
              <w:t>бумагам.</w:t>
            </w:r>
          </w:p>
          <w:p w14:paraId="0457BC25" w14:textId="3AC15FA3" w:rsidR="00217C22" w:rsidRPr="00606D97" w:rsidRDefault="00217C22" w:rsidP="00224F6F">
            <w:pPr>
              <w:pStyle w:val="5"/>
              <w:numPr>
                <w:ilvl w:val="0"/>
                <w:numId w:val="0"/>
              </w:numPr>
              <w:ind w:left="37" w:hanging="37"/>
              <w:rPr>
                <w:rFonts w:ascii="Times New Roman" w:hAnsi="Times New Roman"/>
                <w:color w:val="000000" w:themeColor="text1"/>
                <w:sz w:val="24"/>
                <w:szCs w:val="24"/>
              </w:rPr>
            </w:pPr>
            <w:r w:rsidRPr="00606D97">
              <w:rPr>
                <w:rFonts w:asciiTheme="minorHAnsi" w:hAnsiTheme="minorHAnsi"/>
                <w:color w:val="000000" w:themeColor="text1"/>
                <w:sz w:val="24"/>
                <w:szCs w:val="24"/>
              </w:rPr>
              <w:t xml:space="preserve">Процентный купонный доход по долговым ценным бумагам определяется в размере, определенном в соответствии с условиями выпуска на дату расчета СЧА, и исходя из количества ценной бумаги на дату расчета. Для определения процентного купонного дохода по долговым ценным бумагам используются значения с максимальной точностью. Величина купонного дохода, выраженного в валюте, определяется в соответствии с  Приложением </w:t>
            </w:r>
            <w:r w:rsidR="00C71838">
              <w:rPr>
                <w:rFonts w:asciiTheme="minorHAnsi" w:hAnsiTheme="minorHAnsi"/>
                <w:color w:val="000000" w:themeColor="text1"/>
                <w:sz w:val="24"/>
                <w:szCs w:val="24"/>
              </w:rPr>
              <w:t>30</w:t>
            </w:r>
            <w:r w:rsidRPr="00606D97">
              <w:rPr>
                <w:rFonts w:asciiTheme="minorHAnsi" w:hAnsiTheme="minorHAnsi"/>
                <w:color w:val="000000" w:themeColor="text1"/>
                <w:sz w:val="24"/>
                <w:szCs w:val="24"/>
              </w:rPr>
              <w:t>.</w:t>
            </w:r>
          </w:p>
        </w:tc>
      </w:tr>
    </w:tbl>
    <w:p w14:paraId="12AB731D" w14:textId="77777777" w:rsidR="00217C22" w:rsidRDefault="00217C22" w:rsidP="00217C22">
      <w:pPr>
        <w:pStyle w:val="ac"/>
        <w:spacing w:after="0" w:line="240" w:lineRule="auto"/>
        <w:ind w:left="4820"/>
        <w:jc w:val="right"/>
        <w:rPr>
          <w:rFonts w:ascii="Verdana" w:hAnsi="Verdana" w:cs="Arial"/>
          <w:b/>
        </w:rPr>
      </w:pPr>
    </w:p>
    <w:p w14:paraId="0E3FB549" w14:textId="2430552F" w:rsidR="00CE08A9" w:rsidRPr="00BE536E" w:rsidRDefault="00217C22" w:rsidP="005960AC">
      <w:pPr>
        <w:tabs>
          <w:tab w:val="left" w:pos="615"/>
        </w:tabs>
        <w:rPr>
          <w:rFonts w:ascii="Verdana" w:hAnsi="Verdana" w:cs="Arial"/>
          <w:b/>
        </w:rPr>
        <w:sectPr w:rsidR="00CE08A9" w:rsidRPr="00BE536E" w:rsidSect="00211A11">
          <w:pgSz w:w="15840" w:h="12240" w:orient="landscape"/>
          <w:pgMar w:top="1134" w:right="850" w:bottom="1134" w:left="1701" w:header="720" w:footer="720" w:gutter="0"/>
          <w:cols w:space="720"/>
          <w:noEndnote/>
          <w:docGrid w:linePitch="299"/>
        </w:sectPr>
      </w:pPr>
      <w:r>
        <w:rPr>
          <w:rFonts w:ascii="Verdana" w:hAnsi="Verdana" w:cs="Arial"/>
          <w:b/>
        </w:rPr>
        <w:tab/>
      </w:r>
    </w:p>
    <w:p w14:paraId="3D1A59C2" w14:textId="77777777" w:rsidR="0054627D" w:rsidRPr="00BE536E" w:rsidRDefault="00733644" w:rsidP="00733644">
      <w:pPr>
        <w:pStyle w:val="10"/>
        <w:numPr>
          <w:ilvl w:val="0"/>
          <w:numId w:val="0"/>
        </w:numPr>
        <w:ind w:left="432"/>
        <w:jc w:val="left"/>
        <w:rPr>
          <w:rFonts w:ascii="Verdana" w:hAnsi="Verdana" w:cs="Arial"/>
        </w:rPr>
      </w:pPr>
      <w:bookmarkStart w:id="13" w:name="_Toc27400761"/>
      <w:r w:rsidRPr="00BE536E">
        <w:rPr>
          <w:rFonts w:ascii="Verdana" w:hAnsi="Verdana" w:cs="Arial"/>
          <w:b w:val="0"/>
          <w:bCs w:val="0"/>
          <w:iCs w:val="0"/>
          <w:caps/>
          <w:smallCaps w:val="0"/>
          <w:color w:val="943634"/>
          <w:sz w:val="24"/>
        </w:rPr>
        <w:lastRenderedPageBreak/>
        <w:t xml:space="preserve">Приложение </w:t>
      </w:r>
      <w:r w:rsidR="00170ECE" w:rsidRPr="00BE536E">
        <w:rPr>
          <w:rFonts w:ascii="Verdana" w:hAnsi="Verdana" w:cs="Arial"/>
          <w:b w:val="0"/>
          <w:bCs w:val="0"/>
          <w:iCs w:val="0"/>
          <w:caps/>
          <w:smallCaps w:val="0"/>
          <w:color w:val="943634"/>
          <w:sz w:val="24"/>
        </w:rPr>
        <w:t>3</w:t>
      </w:r>
      <w:r w:rsidRPr="00BE536E">
        <w:rPr>
          <w:rFonts w:ascii="Verdana" w:hAnsi="Verdana" w:cs="Arial"/>
          <w:b w:val="0"/>
          <w:bCs w:val="0"/>
          <w:iCs w:val="0"/>
          <w:caps/>
          <w:smallCaps w:val="0"/>
          <w:color w:val="943634"/>
          <w:sz w:val="24"/>
        </w:rPr>
        <w:t>.</w:t>
      </w:r>
      <w:r w:rsidRPr="00BE536E">
        <w:rPr>
          <w:rFonts w:ascii="Verdana" w:hAnsi="Verdana" w:cs="Arial"/>
          <w:bCs w:val="0"/>
          <w:iCs w:val="0"/>
          <w:caps/>
          <w:smallCaps w:val="0"/>
          <w:color w:val="943634"/>
          <w:sz w:val="24"/>
        </w:rPr>
        <w:t xml:space="preserve"> </w:t>
      </w:r>
      <w:r w:rsidR="0054627D" w:rsidRPr="00BE536E">
        <w:rPr>
          <w:rFonts w:ascii="Verdana" w:hAnsi="Verdana" w:cs="Arial"/>
          <w:caps/>
          <w:color w:val="943634"/>
          <w:sz w:val="24"/>
        </w:rPr>
        <w:t>Перечень доступных и наблюдаемых</w:t>
      </w:r>
      <w:r w:rsidR="0054627D" w:rsidRPr="00BE536E">
        <w:rPr>
          <w:rFonts w:ascii="Verdana" w:hAnsi="Verdana" w:cs="Arial"/>
        </w:rPr>
        <w:t xml:space="preserve"> </w:t>
      </w:r>
      <w:r w:rsidR="0054627D" w:rsidRPr="00BE536E">
        <w:rPr>
          <w:rFonts w:ascii="Verdana" w:hAnsi="Verdana" w:cs="Arial"/>
          <w:caps/>
          <w:color w:val="943634"/>
          <w:sz w:val="24"/>
        </w:rPr>
        <w:t>биржевых площадок</w:t>
      </w:r>
      <w:bookmarkEnd w:id="13"/>
    </w:p>
    <w:tbl>
      <w:tblPr>
        <w:tblW w:w="0" w:type="auto"/>
        <w:tblInd w:w="48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8868"/>
      </w:tblGrid>
      <w:tr w:rsidR="00170ECE" w:rsidRPr="00BE536E" w14:paraId="041D107E" w14:textId="77777777" w:rsidTr="00170ECE">
        <w:tc>
          <w:tcPr>
            <w:tcW w:w="8868" w:type="dxa"/>
            <w:shd w:val="clear" w:color="auto" w:fill="A6A6A6"/>
          </w:tcPr>
          <w:p w14:paraId="36F22FB5" w14:textId="77777777" w:rsidR="00170ECE" w:rsidRPr="00BE536E" w:rsidRDefault="00170ECE" w:rsidP="00D11056">
            <w:pPr>
              <w:autoSpaceDE w:val="0"/>
              <w:autoSpaceDN w:val="0"/>
              <w:adjustRightInd w:val="0"/>
              <w:spacing w:after="0" w:line="240" w:lineRule="auto"/>
              <w:jc w:val="center"/>
              <w:rPr>
                <w:rFonts w:ascii="Verdana" w:hAnsi="Verdana" w:cs="Verdana"/>
                <w:b/>
                <w:i/>
                <w:sz w:val="20"/>
                <w:szCs w:val="20"/>
              </w:rPr>
            </w:pPr>
            <w:r w:rsidRPr="00BE536E">
              <w:rPr>
                <w:rFonts w:ascii="Verdana" w:hAnsi="Verdana" w:cs="Arial"/>
                <w:b/>
                <w:i/>
                <w:sz w:val="20"/>
                <w:szCs w:val="20"/>
              </w:rPr>
              <w:t>Доступные и наблюдаемые биржевые площадки</w:t>
            </w:r>
          </w:p>
        </w:tc>
      </w:tr>
      <w:tr w:rsidR="00170ECE" w:rsidRPr="00BE536E" w14:paraId="46A52A88" w14:textId="77777777" w:rsidTr="00170ECE">
        <w:tc>
          <w:tcPr>
            <w:tcW w:w="8868" w:type="dxa"/>
            <w:shd w:val="clear" w:color="auto" w:fill="auto"/>
          </w:tcPr>
          <w:p w14:paraId="6A0E6E2A" w14:textId="5E738AF8" w:rsidR="00170ECE" w:rsidRPr="00BE536E" w:rsidRDefault="00170ECE" w:rsidP="00D11056">
            <w:pPr>
              <w:autoSpaceDE w:val="0"/>
              <w:autoSpaceDN w:val="0"/>
              <w:adjustRightInd w:val="0"/>
              <w:spacing w:after="0" w:line="240" w:lineRule="auto"/>
              <w:jc w:val="both"/>
              <w:rPr>
                <w:rFonts w:ascii="Verdana" w:hAnsi="Verdana" w:cs="Verdana"/>
                <w:sz w:val="20"/>
                <w:szCs w:val="20"/>
              </w:rPr>
            </w:pPr>
            <w:r w:rsidRPr="00BE536E">
              <w:rPr>
                <w:rFonts w:ascii="Verdana" w:hAnsi="Verdana"/>
                <w:color w:val="000000"/>
                <w:sz w:val="20"/>
                <w:szCs w:val="20"/>
              </w:rPr>
              <w:t>Публичное акционерное общество "Московская Биржа "</w:t>
            </w:r>
            <w:r w:rsidRPr="00BE536E" w:rsidDel="00B11097">
              <w:rPr>
                <w:rFonts w:ascii="Verdana" w:hAnsi="Verdana"/>
                <w:color w:val="000000"/>
                <w:sz w:val="20"/>
                <w:szCs w:val="20"/>
              </w:rPr>
              <w:t xml:space="preserve"> </w:t>
            </w:r>
          </w:p>
        </w:tc>
      </w:tr>
      <w:tr w:rsidR="00170ECE" w:rsidRPr="00BE536E" w14:paraId="23C87DFB" w14:textId="77777777" w:rsidTr="00170ECE">
        <w:tc>
          <w:tcPr>
            <w:tcW w:w="8868" w:type="dxa"/>
            <w:shd w:val="clear" w:color="auto" w:fill="auto"/>
          </w:tcPr>
          <w:p w14:paraId="495D851D" w14:textId="77777777" w:rsidR="00170ECE" w:rsidRPr="00BE536E" w:rsidRDefault="00170ECE" w:rsidP="00D11056">
            <w:pPr>
              <w:autoSpaceDE w:val="0"/>
              <w:autoSpaceDN w:val="0"/>
              <w:adjustRightInd w:val="0"/>
              <w:spacing w:after="0" w:line="240" w:lineRule="auto"/>
              <w:jc w:val="both"/>
              <w:rPr>
                <w:rFonts w:ascii="Verdana" w:hAnsi="Verdana" w:cs="Verdana"/>
                <w:sz w:val="20"/>
                <w:szCs w:val="20"/>
              </w:rPr>
            </w:pPr>
            <w:r w:rsidRPr="00BE536E">
              <w:rPr>
                <w:rFonts w:ascii="Verdana" w:hAnsi="Verdana"/>
                <w:color w:val="000000"/>
                <w:sz w:val="20"/>
                <w:szCs w:val="20"/>
              </w:rPr>
              <w:t>Публичное акционерное общество "Санкт-Петербургская биржа"</w:t>
            </w:r>
          </w:p>
        </w:tc>
      </w:tr>
      <w:tr w:rsidR="00170ECE" w:rsidRPr="00BE536E" w14:paraId="5813CB1F" w14:textId="77777777" w:rsidTr="00170ECE">
        <w:tc>
          <w:tcPr>
            <w:tcW w:w="8868" w:type="dxa"/>
            <w:shd w:val="clear" w:color="auto" w:fill="auto"/>
          </w:tcPr>
          <w:p w14:paraId="5D95D4DB" w14:textId="77777777" w:rsidR="00170ECE" w:rsidRPr="00BE536E" w:rsidRDefault="00170ECE" w:rsidP="00D11056">
            <w:pPr>
              <w:autoSpaceDE w:val="0"/>
              <w:autoSpaceDN w:val="0"/>
              <w:adjustRightInd w:val="0"/>
              <w:spacing w:after="0" w:line="240" w:lineRule="auto"/>
              <w:jc w:val="both"/>
              <w:rPr>
                <w:rFonts w:ascii="Verdana" w:hAnsi="Verdana" w:cs="Verdana"/>
                <w:sz w:val="20"/>
                <w:szCs w:val="20"/>
              </w:rPr>
            </w:pPr>
            <w:r w:rsidRPr="00BE536E">
              <w:rPr>
                <w:rFonts w:ascii="Verdana" w:hAnsi="Verdana"/>
                <w:color w:val="000000"/>
                <w:sz w:val="20"/>
                <w:szCs w:val="20"/>
              </w:rPr>
              <w:t>Закрытое акционерное общество "Санкт-Петербургская Валютная Биржа"</w:t>
            </w:r>
          </w:p>
        </w:tc>
      </w:tr>
      <w:tr w:rsidR="00170ECE" w:rsidRPr="00BE536E" w14:paraId="42A69D81" w14:textId="77777777" w:rsidTr="00170ECE">
        <w:tc>
          <w:tcPr>
            <w:tcW w:w="8868" w:type="dxa"/>
            <w:shd w:val="clear" w:color="auto" w:fill="auto"/>
            <w:vAlign w:val="bottom"/>
          </w:tcPr>
          <w:p w14:paraId="0A643DE1"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Лондонская фондовая биржа</w:t>
            </w:r>
          </w:p>
        </w:tc>
      </w:tr>
      <w:tr w:rsidR="00170ECE" w:rsidRPr="00BE536E" w14:paraId="382FD180" w14:textId="77777777" w:rsidTr="00170ECE">
        <w:tc>
          <w:tcPr>
            <w:tcW w:w="8868" w:type="dxa"/>
            <w:shd w:val="clear" w:color="auto" w:fill="auto"/>
            <w:vAlign w:val="bottom"/>
          </w:tcPr>
          <w:p w14:paraId="0CF5439F"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Нью-Йоркская фондовая биржа</w:t>
            </w:r>
          </w:p>
        </w:tc>
      </w:tr>
      <w:tr w:rsidR="00170ECE" w:rsidRPr="00BE536E" w14:paraId="103DC25C" w14:textId="77777777" w:rsidTr="00170ECE">
        <w:tc>
          <w:tcPr>
            <w:tcW w:w="8868" w:type="dxa"/>
            <w:shd w:val="clear" w:color="auto" w:fill="auto"/>
            <w:vAlign w:val="bottom"/>
          </w:tcPr>
          <w:p w14:paraId="1D84F1D2"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Нью-Йоркская фондовая биржа Арка</w:t>
            </w:r>
          </w:p>
        </w:tc>
      </w:tr>
      <w:tr w:rsidR="00170ECE" w:rsidRPr="00BE536E" w14:paraId="792444C4" w14:textId="77777777" w:rsidTr="00170ECE">
        <w:tc>
          <w:tcPr>
            <w:tcW w:w="8868" w:type="dxa"/>
            <w:shd w:val="clear" w:color="auto" w:fill="auto"/>
            <w:vAlign w:val="bottom"/>
          </w:tcPr>
          <w:p w14:paraId="2C55F853"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sz w:val="20"/>
                <w:szCs w:val="20"/>
              </w:rPr>
              <w:t>Нью-Йоркская фондовая биржа облигаций</w:t>
            </w:r>
          </w:p>
        </w:tc>
      </w:tr>
      <w:tr w:rsidR="00170ECE" w:rsidRPr="00BE536E" w14:paraId="62FAB1F1" w14:textId="77777777" w:rsidTr="00170ECE">
        <w:tc>
          <w:tcPr>
            <w:tcW w:w="8868" w:type="dxa"/>
            <w:shd w:val="clear" w:color="auto" w:fill="auto"/>
            <w:vAlign w:val="bottom"/>
          </w:tcPr>
          <w:p w14:paraId="7F6F1161"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Фондовая биржа Насдак</w:t>
            </w:r>
          </w:p>
        </w:tc>
      </w:tr>
    </w:tbl>
    <w:p w14:paraId="4689668F" w14:textId="77777777" w:rsidR="0054627D" w:rsidRPr="00BE536E" w:rsidRDefault="0054627D" w:rsidP="00733644">
      <w:pPr>
        <w:spacing w:after="0"/>
        <w:ind w:left="7797"/>
        <w:rPr>
          <w:rFonts w:ascii="Verdana" w:hAnsi="Verdana" w:cs="Arial"/>
          <w:b/>
          <w:sz w:val="20"/>
          <w:szCs w:val="20"/>
        </w:rPr>
      </w:pPr>
    </w:p>
    <w:p w14:paraId="20304708" w14:textId="77777777" w:rsidR="00BD35C8" w:rsidRPr="00BE536E" w:rsidRDefault="00BD35C8" w:rsidP="00733644">
      <w:pPr>
        <w:spacing w:after="0"/>
        <w:ind w:left="7797"/>
        <w:rPr>
          <w:rFonts w:ascii="Verdana" w:hAnsi="Verdana" w:cs="Arial"/>
          <w:b/>
          <w:sz w:val="20"/>
          <w:szCs w:val="20"/>
        </w:rPr>
      </w:pPr>
    </w:p>
    <w:p w14:paraId="7721B187" w14:textId="77777777" w:rsidR="0054627D" w:rsidRPr="00BE536E" w:rsidRDefault="0054627D" w:rsidP="00733644">
      <w:pPr>
        <w:spacing w:after="0"/>
        <w:ind w:left="7797"/>
        <w:rPr>
          <w:rFonts w:ascii="Verdana" w:hAnsi="Verdana" w:cs="Arial"/>
          <w:b/>
          <w:sz w:val="20"/>
          <w:szCs w:val="20"/>
        </w:rPr>
      </w:pPr>
    </w:p>
    <w:p w14:paraId="62A48E03" w14:textId="77777777" w:rsidR="00E94C83" w:rsidRPr="00BE536E" w:rsidRDefault="00E94C83" w:rsidP="00733644">
      <w:pPr>
        <w:spacing w:after="0"/>
        <w:rPr>
          <w:rFonts w:ascii="Verdana" w:hAnsi="Verdana" w:cs="Arial"/>
          <w:b/>
        </w:rPr>
        <w:sectPr w:rsidR="00E94C83" w:rsidRPr="00BE536E" w:rsidSect="00CE08A9">
          <w:pgSz w:w="12240" w:h="15840"/>
          <w:pgMar w:top="1134" w:right="709" w:bottom="992" w:left="1701" w:header="720" w:footer="720" w:gutter="0"/>
          <w:cols w:space="720"/>
          <w:noEndnote/>
          <w:docGrid w:linePitch="299"/>
        </w:sectPr>
      </w:pPr>
      <w:bookmarkStart w:id="14" w:name="приложение_5"/>
    </w:p>
    <w:p w14:paraId="5DE90099" w14:textId="77777777" w:rsidR="00D41F6A" w:rsidRPr="00BE536E" w:rsidRDefault="00733644" w:rsidP="00733644">
      <w:pPr>
        <w:pStyle w:val="10"/>
        <w:numPr>
          <w:ilvl w:val="0"/>
          <w:numId w:val="0"/>
        </w:numPr>
        <w:ind w:left="432"/>
        <w:jc w:val="left"/>
        <w:rPr>
          <w:rFonts w:ascii="Verdana" w:hAnsi="Verdana" w:cs="Arial"/>
          <w:bCs w:val="0"/>
          <w:iCs w:val="0"/>
          <w:caps/>
          <w:smallCaps w:val="0"/>
          <w:color w:val="943634"/>
          <w:sz w:val="24"/>
        </w:rPr>
      </w:pPr>
      <w:bookmarkStart w:id="15" w:name="_Toc27400762"/>
      <w:bookmarkEnd w:id="14"/>
      <w:r w:rsidRPr="00BE536E">
        <w:rPr>
          <w:rFonts w:ascii="Verdana" w:hAnsi="Verdana" w:cs="Arial"/>
          <w:b w:val="0"/>
          <w:bCs w:val="0"/>
          <w:iCs w:val="0"/>
          <w:caps/>
          <w:smallCaps w:val="0"/>
          <w:color w:val="943634"/>
          <w:sz w:val="24"/>
        </w:rPr>
        <w:lastRenderedPageBreak/>
        <w:t xml:space="preserve">Приложение </w:t>
      </w:r>
      <w:r w:rsidR="00681D45" w:rsidRPr="00BE536E">
        <w:rPr>
          <w:rFonts w:ascii="Verdana" w:hAnsi="Verdana" w:cs="Arial"/>
          <w:b w:val="0"/>
          <w:bCs w:val="0"/>
          <w:iCs w:val="0"/>
          <w:caps/>
          <w:smallCaps w:val="0"/>
          <w:color w:val="943634"/>
          <w:sz w:val="24"/>
        </w:rPr>
        <w:t>4</w:t>
      </w:r>
      <w:r w:rsidRPr="00BE536E">
        <w:rPr>
          <w:rFonts w:ascii="Verdana" w:hAnsi="Verdana" w:cs="Arial"/>
          <w:b w:val="0"/>
          <w:bCs w:val="0"/>
          <w:iCs w:val="0"/>
          <w:caps/>
          <w:smallCaps w:val="0"/>
          <w:color w:val="943634"/>
          <w:sz w:val="24"/>
        </w:rPr>
        <w:t xml:space="preserve">. </w:t>
      </w:r>
      <w:r w:rsidR="00A201CC" w:rsidRPr="00BE536E">
        <w:rPr>
          <w:rFonts w:ascii="Verdana" w:hAnsi="Verdana" w:cs="Arial"/>
          <w:bCs w:val="0"/>
          <w:iCs w:val="0"/>
          <w:caps/>
          <w:smallCaps w:val="0"/>
          <w:color w:val="943634"/>
          <w:sz w:val="24"/>
        </w:rPr>
        <w:t>Метод приведенной стоимости будущих денежных потоков</w:t>
      </w:r>
      <w:bookmarkEnd w:id="15"/>
    </w:p>
    <w:p w14:paraId="4EC8E2EB"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.1. Формула приведенной стоимости будущих денежных потоков и применение</w:t>
      </w:r>
    </w:p>
    <w:p w14:paraId="0BB63C72" w14:textId="77777777" w:rsidR="008B55E7" w:rsidRPr="00BE536E" w:rsidRDefault="008B55E7" w:rsidP="008B55E7">
      <w:pPr>
        <w:spacing w:before="120" w:after="120" w:line="360" w:lineRule="auto"/>
        <w:jc w:val="both"/>
        <w:rPr>
          <w:rFonts w:ascii="Verdana" w:hAnsi="Verdana"/>
        </w:rPr>
      </w:pPr>
      <w:r w:rsidRPr="00BE536E">
        <w:rPr>
          <w:rFonts w:ascii="Verdana" w:hAnsi="Verdana"/>
        </w:rPr>
        <w:t>Приведенная стоимость будущих денежных потоков, указанная в настоящем приложении, рассчитывается для следующих активов (обязательств):</w:t>
      </w:r>
    </w:p>
    <w:p w14:paraId="6939AA8B" w14:textId="77777777" w:rsidR="008B55E7" w:rsidRPr="00BE536E" w:rsidRDefault="008B55E7" w:rsidP="00D05311">
      <w:pPr>
        <w:numPr>
          <w:ilvl w:val="0"/>
          <w:numId w:val="41"/>
        </w:numPr>
        <w:spacing w:before="120" w:after="120" w:line="360" w:lineRule="auto"/>
        <w:jc w:val="both"/>
        <w:rPr>
          <w:rFonts w:ascii="Verdana" w:hAnsi="Verdana"/>
        </w:rPr>
      </w:pPr>
      <w:r w:rsidRPr="00BE536E">
        <w:rPr>
          <w:rFonts w:ascii="Verdana" w:hAnsi="Verdana"/>
        </w:rPr>
        <w:t xml:space="preserve">Депозиты в кредитных организациях в случаях, указанных в </w:t>
      </w:r>
      <w:hyperlink w:anchor="_Приложение_10._Депозиты" w:history="1">
        <w:r w:rsidR="000E30D2" w:rsidRPr="00BE536E">
          <w:rPr>
            <w:rFonts w:ascii="Verdana Pro" w:hAnsi="Verdana Pro"/>
          </w:rPr>
          <w:t>Приложении 9</w:t>
        </w:r>
      </w:hyperlink>
      <w:r w:rsidRPr="00BE536E">
        <w:rPr>
          <w:rFonts w:ascii="Verdana" w:hAnsi="Verdana"/>
        </w:rPr>
        <w:t>;</w:t>
      </w:r>
    </w:p>
    <w:p w14:paraId="64507B1F" w14:textId="7A7F7735" w:rsidR="008B55E7" w:rsidRPr="00BE536E" w:rsidRDefault="008B55E7" w:rsidP="00D05311">
      <w:pPr>
        <w:numPr>
          <w:ilvl w:val="0"/>
          <w:numId w:val="41"/>
        </w:numPr>
        <w:spacing w:before="120" w:after="120" w:line="360" w:lineRule="auto"/>
        <w:jc w:val="both"/>
        <w:rPr>
          <w:rFonts w:ascii="Verdana" w:hAnsi="Verdana"/>
        </w:rPr>
      </w:pPr>
      <w:r w:rsidRPr="00BE536E">
        <w:rPr>
          <w:rFonts w:ascii="Verdana" w:hAnsi="Verdana"/>
        </w:rPr>
        <w:t xml:space="preserve">Обязательства по договорам аренды полученной на срок более 1 года (долгосрочная аренда, где ПИФ - арендатор) </w:t>
      </w:r>
      <w:r w:rsidRPr="00BE536E">
        <w:rPr>
          <w:rFonts w:ascii="Verdana Pro" w:hAnsi="Verdana Pro"/>
        </w:rPr>
        <w:t>(</w:t>
      </w:r>
      <w:hyperlink w:anchor="_Приложение_22._Права" w:history="1">
        <w:r w:rsidRPr="00BE536E">
          <w:rPr>
            <w:rStyle w:val="a5"/>
            <w:rFonts w:ascii="Verdana Pro" w:hAnsi="Verdana Pro"/>
            <w:sz w:val="22"/>
            <w:szCs w:val="22"/>
          </w:rPr>
          <w:t>Приложение 2</w:t>
        </w:r>
      </w:hyperlink>
      <w:r w:rsidR="00B831EB" w:rsidRPr="00BE536E">
        <w:rPr>
          <w:rStyle w:val="a5"/>
          <w:rFonts w:ascii="Verdana Pro" w:hAnsi="Verdana Pro"/>
          <w:sz w:val="22"/>
          <w:szCs w:val="22"/>
        </w:rPr>
        <w:t>0</w:t>
      </w:r>
      <w:r w:rsidRPr="00BE536E">
        <w:rPr>
          <w:rFonts w:ascii="Verdana Pro" w:hAnsi="Verdana Pro"/>
        </w:rPr>
        <w:t>).</w:t>
      </w:r>
    </w:p>
    <w:p w14:paraId="7E90524A" w14:textId="77777777" w:rsidR="008B55E7" w:rsidRPr="00BE536E" w:rsidRDefault="008B55E7" w:rsidP="008B55E7">
      <w:pPr>
        <w:spacing w:before="120" w:after="120" w:line="360" w:lineRule="auto"/>
        <w:jc w:val="both"/>
        <w:rPr>
          <w:rFonts w:ascii="Verdana" w:hAnsi="Verdana"/>
        </w:rPr>
      </w:pPr>
    </w:p>
    <w:p w14:paraId="01B1CEA8" w14:textId="77777777" w:rsidR="008B55E7" w:rsidRPr="00BE536E" w:rsidRDefault="008B55E7" w:rsidP="008B55E7">
      <w:pPr>
        <w:spacing w:before="120" w:after="120" w:line="360" w:lineRule="auto"/>
        <w:jc w:val="both"/>
        <w:rPr>
          <w:rFonts w:ascii="Verdana" w:hAnsi="Verdana"/>
        </w:rPr>
      </w:pPr>
      <w:r w:rsidRPr="00BE536E">
        <w:rPr>
          <w:rFonts w:ascii="Verdana" w:hAnsi="Verdana"/>
        </w:rPr>
        <w:t>Формула расчёта приведенной стоимости будущих денежных потоков:</w:t>
      </w:r>
    </w:p>
    <w:p w14:paraId="1D51BA8E" w14:textId="77777777" w:rsidR="008B55E7" w:rsidRPr="00BE536E" w:rsidRDefault="008B55E7" w:rsidP="008B55E7">
      <w:pPr>
        <w:spacing w:before="120" w:after="120" w:line="360" w:lineRule="auto"/>
        <w:jc w:val="both"/>
        <w:rPr>
          <w:rFonts w:ascii="Verdana" w:hAnsi="Verdana"/>
          <w:b/>
          <w:i/>
        </w:rPr>
      </w:pPr>
    </w:p>
    <w:p w14:paraId="636EA3EA" w14:textId="77777777" w:rsidR="008B55E7" w:rsidRPr="00BE536E" w:rsidRDefault="008B55E7" w:rsidP="008B55E7">
      <w:pPr>
        <w:jc w:val="both"/>
        <w:rPr>
          <w:rFonts w:ascii="Verdana" w:hAnsi="Verdana"/>
        </w:rPr>
      </w:pPr>
      <m:oMathPara>
        <m:oMath>
          <m:r>
            <w:rPr>
              <w:rFonts w:ascii="Cambria Math" w:hAnsi="Cambria Math"/>
            </w:rPr>
            <m:t>PV=</m:t>
          </m:r>
          <m:nary>
            <m:naryPr>
              <m:chr m:val="∑"/>
              <m:limLoc m:val="undOvr"/>
              <m:ctrlPr>
                <w:rPr>
                  <w:rFonts w:ascii="Cambria Math" w:hAnsi="Cambria Math"/>
                  <w:i/>
                </w:rPr>
              </m:ctrlPr>
            </m:naryPr>
            <m:sub>
              <m:r>
                <w:rPr>
                  <w:rFonts w:ascii="Cambria Math" w:hAnsi="Cambria Math"/>
                </w:rPr>
                <m:t>n=1</m:t>
              </m:r>
            </m:sub>
            <m:sup>
              <m:r>
                <w:rPr>
                  <w:rFonts w:ascii="Cambria Math" w:hAnsi="Cambria Math"/>
                </w:rPr>
                <m:t>N</m:t>
              </m:r>
            </m:sup>
            <m:e>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n</m:t>
                      </m:r>
                    </m:sub>
                  </m:sSub>
                </m:num>
                <m:den>
                  <m:sSup>
                    <m:sSupPr>
                      <m:ctrlPr>
                        <w:rPr>
                          <w:rFonts w:ascii="Cambria Math" w:hAnsi="Cambria Math"/>
                          <w:i/>
                        </w:rPr>
                      </m:ctrlPr>
                    </m:sSupPr>
                    <m:e>
                      <m:r>
                        <w:rPr>
                          <w:rFonts w:ascii="Cambria Math" w:hAnsi="Cambria Math"/>
                        </w:rPr>
                        <m:t>(1+</m:t>
                      </m:r>
                      <m:r>
                        <w:rPr>
                          <w:rFonts w:ascii="Cambria Math" w:hAnsi="Cambria Math"/>
                          <w:lang w:val="en-US"/>
                        </w:rPr>
                        <m:t>r</m:t>
                      </m:r>
                      <m:r>
                        <w:rPr>
                          <w:rFonts w:ascii="Cambria Math" w:hAnsi="Cambria Math"/>
                        </w:rPr>
                        <m:t>)</m:t>
                      </m:r>
                    </m:e>
                    <m:sup>
                      <m:sSub>
                        <m:sSubPr>
                          <m:ctrlPr>
                            <w:rPr>
                              <w:rFonts w:ascii="Cambria Math" w:hAnsi="Cambria Math"/>
                              <w:i/>
                            </w:rPr>
                          </m:ctrlPr>
                        </m:sSubPr>
                        <m:e>
                          <m:r>
                            <w:rPr>
                              <w:rFonts w:ascii="Cambria Math" w:hAnsi="Cambria Math"/>
                              <w:lang w:val="en-US"/>
                            </w:rPr>
                            <m:t>D</m:t>
                          </m:r>
                        </m:e>
                        <m:sub>
                          <m:r>
                            <w:rPr>
                              <w:rFonts w:ascii="Cambria Math" w:hAnsi="Cambria Math"/>
                            </w:rPr>
                            <m:t>n</m:t>
                          </m:r>
                        </m:sub>
                      </m:sSub>
                      <m:r>
                        <w:rPr>
                          <w:rFonts w:ascii="Cambria Math" w:hAnsi="Cambria Math"/>
                        </w:rPr>
                        <m:t>/365</m:t>
                      </m:r>
                    </m:sup>
                  </m:sSup>
                </m:den>
              </m:f>
            </m:e>
          </m:nary>
        </m:oMath>
      </m:oMathPara>
    </w:p>
    <w:p w14:paraId="2693400B" w14:textId="77777777" w:rsidR="008B55E7" w:rsidRPr="00BE536E" w:rsidRDefault="008B55E7" w:rsidP="008B55E7">
      <w:pPr>
        <w:spacing w:before="120" w:after="120" w:line="360" w:lineRule="auto"/>
        <w:jc w:val="both"/>
        <w:rPr>
          <w:rFonts w:ascii="Verdana" w:hAnsi="Verdana"/>
        </w:rPr>
      </w:pPr>
      <w:r w:rsidRPr="00BE536E">
        <w:rPr>
          <w:rFonts w:ascii="Verdana" w:hAnsi="Verdana"/>
        </w:rPr>
        <w:t>где:</w:t>
      </w:r>
    </w:p>
    <w:p w14:paraId="7A0CBF62"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lang w:val="en-US"/>
        </w:rPr>
        <w:t>PV</w:t>
      </w:r>
      <w:r w:rsidRPr="00BE536E">
        <w:rPr>
          <w:rFonts w:ascii="Verdana" w:hAnsi="Verdana"/>
        </w:rPr>
        <w:t xml:space="preserve"> – справедливая (приведенная) стоимость актива (обязательства);</w:t>
      </w:r>
    </w:p>
    <w:p w14:paraId="56170730"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rPr>
        <w:t>N – количество денежных потоков до даты погашения актива (обязательства), начиная с даты определения СЧА;</w:t>
      </w:r>
    </w:p>
    <w:p w14:paraId="4C7BAE8E"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position w:val="-12"/>
        </w:rPr>
        <w:object w:dxaOrig="279" w:dyaOrig="360" w14:anchorId="1DDE5F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8.75pt" o:ole="">
            <v:imagedata r:id="rId11" o:title=""/>
          </v:shape>
          <o:OLEObject Type="Embed" ProgID="Equation.3" ShapeID="_x0000_i1025" DrawAspect="Content" ObjectID="_1780998159" r:id="rId12"/>
        </w:object>
      </w:r>
      <w:r w:rsidRPr="00BE536E">
        <w:rPr>
          <w:rFonts w:ascii="Verdana" w:hAnsi="Verdana"/>
        </w:rPr>
        <w:t xml:space="preserve"> – сумма n-ого денежного потока (проценты и основная сумма); </w:t>
      </w:r>
    </w:p>
    <w:p w14:paraId="3FE44990"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rPr>
        <w:t>n – порядковый номер денежного потока, начиная с даты определения СЧА;</w:t>
      </w:r>
    </w:p>
    <w:p w14:paraId="33E6FA32"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position w:val="-12"/>
        </w:rPr>
        <w:object w:dxaOrig="340" w:dyaOrig="360" w14:anchorId="771548EB">
          <v:shape id="_x0000_i1026" type="#_x0000_t75" style="width:18.75pt;height:18.75pt" o:ole="">
            <v:imagedata r:id="rId13" o:title=""/>
          </v:shape>
          <o:OLEObject Type="Embed" ProgID="Equation.3" ShapeID="_x0000_i1026" DrawAspect="Content" ObjectID="_1780998160" r:id="rId14"/>
        </w:object>
      </w:r>
      <w:r w:rsidRPr="00BE536E">
        <w:rPr>
          <w:rFonts w:ascii="Verdana" w:hAnsi="Verdana"/>
        </w:rPr>
        <w:t xml:space="preserve"> – количество дней от даты определения СЧА до даты n-ого денежного потока;</w:t>
      </w:r>
    </w:p>
    <w:p w14:paraId="3F1924AF" w14:textId="77777777" w:rsidR="008B55E7" w:rsidRPr="00BE536E" w:rsidRDefault="008B55E7" w:rsidP="008B55E7">
      <w:pPr>
        <w:spacing w:before="120" w:after="120" w:line="360" w:lineRule="auto"/>
        <w:ind w:left="567"/>
        <w:jc w:val="both"/>
        <w:rPr>
          <w:rFonts w:ascii="Verdana" w:hAnsi="Verdana"/>
        </w:rPr>
      </w:pPr>
      <m:oMath>
        <m:r>
          <w:rPr>
            <w:rFonts w:ascii="Cambria Math" w:hAnsi="Cambria Math"/>
            <w:lang w:val="en-US"/>
          </w:rPr>
          <m:t>r</m:t>
        </m:r>
      </m:oMath>
      <w:r w:rsidRPr="00BE536E">
        <w:rPr>
          <w:rFonts w:ascii="Verdana" w:hAnsi="Verdana"/>
        </w:rPr>
        <w:t xml:space="preserve"> – ставка дисконтирования в процентах годовых, определенная в настоящем приложении. </w:t>
      </w:r>
    </w:p>
    <w:p w14:paraId="42A12338" w14:textId="77777777" w:rsidR="008B55E7" w:rsidRPr="00BE536E" w:rsidRDefault="008B55E7" w:rsidP="008B55E7">
      <w:pPr>
        <w:spacing w:before="120" w:after="120" w:line="360" w:lineRule="auto"/>
        <w:ind w:left="567"/>
        <w:jc w:val="both"/>
        <w:rPr>
          <w:rFonts w:ascii="Verdana" w:hAnsi="Verdana"/>
          <w:i/>
        </w:rPr>
      </w:pPr>
    </w:p>
    <w:p w14:paraId="3AD0E66C"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.2. Порядок определения и корректировки потоков денежных средств</w:t>
      </w:r>
    </w:p>
    <w:p w14:paraId="7B249738" w14:textId="77777777" w:rsidR="008B55E7" w:rsidRPr="00BE536E" w:rsidRDefault="008B55E7" w:rsidP="008B55E7">
      <w:pPr>
        <w:spacing w:before="120" w:after="120" w:line="360" w:lineRule="auto"/>
        <w:jc w:val="both"/>
        <w:rPr>
          <w:rFonts w:ascii="Verdana" w:hAnsi="Verdana"/>
        </w:rPr>
      </w:pPr>
      <w:r w:rsidRPr="00BE536E">
        <w:rPr>
          <w:rFonts w:ascii="Verdana" w:hAnsi="Verdana"/>
        </w:rPr>
        <w:lastRenderedPageBreak/>
        <w:t xml:space="preserve">Денежные потоки, включая процентный доход, рассчитываются в соответствии с условиями договора, датой денежного потока считается ожидаемая дата, в которую планируется поступление денежных средств, соответствующая дате окончания </w:t>
      </w:r>
      <w:r w:rsidRPr="00BE536E">
        <w:rPr>
          <w:rFonts w:ascii="Verdana" w:hAnsi="Verdana"/>
          <w:lang w:val="en-US"/>
        </w:rPr>
        <w:t>n</w:t>
      </w:r>
      <w:r w:rsidRPr="00BE536E">
        <w:rPr>
          <w:rFonts w:ascii="Verdana" w:hAnsi="Verdana"/>
        </w:rPr>
        <w:t>-ого периода (за исключением случаев досрочного погашения основного долга).</w:t>
      </w:r>
    </w:p>
    <w:p w14:paraId="45CA4551" w14:textId="77777777" w:rsidR="008B55E7" w:rsidRPr="00BE536E" w:rsidRDefault="008B55E7" w:rsidP="008B55E7">
      <w:pPr>
        <w:tabs>
          <w:tab w:val="left" w:pos="993"/>
        </w:tabs>
        <w:spacing w:line="312" w:lineRule="auto"/>
        <w:jc w:val="both"/>
        <w:rPr>
          <w:rFonts w:ascii="Verdana" w:hAnsi="Verdana"/>
        </w:rPr>
      </w:pPr>
      <w:r w:rsidRPr="00BE536E">
        <w:rPr>
          <w:rFonts w:ascii="Verdana" w:hAnsi="Verdana"/>
        </w:rPr>
        <w:t>Суммы денежных потоков рассчитываются с учетом капитализации процентных доходов, если это предусмотрено условиями договора.</w:t>
      </w:r>
    </w:p>
    <w:p w14:paraId="7BD20592" w14:textId="77777777" w:rsidR="008B55E7" w:rsidRPr="00BE536E" w:rsidRDefault="008B55E7" w:rsidP="008B55E7">
      <w:pPr>
        <w:spacing w:before="120" w:after="120" w:line="360" w:lineRule="auto"/>
        <w:jc w:val="both"/>
        <w:rPr>
          <w:rFonts w:ascii="Verdana" w:hAnsi="Verdana"/>
        </w:rPr>
      </w:pPr>
      <w:r w:rsidRPr="00BE536E">
        <w:rPr>
          <w:rFonts w:ascii="Verdana" w:hAnsi="Verdana"/>
        </w:rPr>
        <w:t>График денежных потоков корректируется в случае:</w:t>
      </w:r>
    </w:p>
    <w:p w14:paraId="432CA760" w14:textId="77777777" w:rsidR="008B55E7" w:rsidRPr="00BE536E" w:rsidRDefault="008B55E7" w:rsidP="00D05311">
      <w:pPr>
        <w:numPr>
          <w:ilvl w:val="0"/>
          <w:numId w:val="30"/>
        </w:numPr>
        <w:spacing w:line="360" w:lineRule="auto"/>
        <w:ind w:left="709" w:hanging="612"/>
        <w:jc w:val="both"/>
        <w:rPr>
          <w:rFonts w:ascii="Verdana" w:hAnsi="Verdana"/>
        </w:rPr>
      </w:pPr>
      <w:r w:rsidRPr="00BE536E">
        <w:rPr>
          <w:rFonts w:ascii="Verdana" w:hAnsi="Verdana"/>
        </w:rPr>
        <w:t xml:space="preserve">внесения изменений в договор (в том числе в части изменения ставки по договору, срока действия договора, периодичности или сроков выплаты процентных доходов), </w:t>
      </w:r>
    </w:p>
    <w:p w14:paraId="231DF919" w14:textId="77777777" w:rsidR="008B55E7" w:rsidRPr="00BE536E" w:rsidRDefault="008B55E7" w:rsidP="00D05311">
      <w:pPr>
        <w:numPr>
          <w:ilvl w:val="0"/>
          <w:numId w:val="30"/>
        </w:numPr>
        <w:spacing w:line="360" w:lineRule="auto"/>
        <w:ind w:left="709" w:hanging="612"/>
        <w:jc w:val="both"/>
        <w:rPr>
          <w:rFonts w:ascii="Verdana" w:hAnsi="Verdana"/>
        </w:rPr>
      </w:pPr>
      <w:r w:rsidRPr="00BE536E">
        <w:rPr>
          <w:rFonts w:ascii="Verdana" w:hAnsi="Verdana"/>
        </w:rPr>
        <w:t>изменения суммы основного долга (пополнения, частичного досрочного погашения основного долга, если оно не было учтено в графике).</w:t>
      </w:r>
    </w:p>
    <w:p w14:paraId="4FEA0B26" w14:textId="77777777" w:rsidR="008B55E7" w:rsidRPr="00BE536E" w:rsidRDefault="008B55E7" w:rsidP="008B55E7">
      <w:pPr>
        <w:spacing w:before="120" w:after="120" w:line="360" w:lineRule="auto"/>
        <w:jc w:val="both"/>
        <w:rPr>
          <w:rFonts w:ascii="Verdana" w:hAnsi="Verdana"/>
        </w:rPr>
      </w:pPr>
      <w:r w:rsidRPr="00BE536E">
        <w:rPr>
          <w:rFonts w:ascii="Verdana" w:hAnsi="Verdana"/>
        </w:rPr>
        <w:t>Для учета в справедливой стоимости обесценения по депозиту (вкладу) производится корректировка величины ожидаемых денежных потоков (</w:t>
      </w:r>
      <w:r w:rsidRPr="00BE536E">
        <w:rPr>
          <w:rFonts w:ascii="Verdana" w:hAnsi="Verdana"/>
          <w:position w:val="-12"/>
        </w:rPr>
        <w:object w:dxaOrig="279" w:dyaOrig="360" w14:anchorId="069B61AD">
          <v:shape id="_x0000_i1027" type="#_x0000_t75" style="width:12.75pt;height:18.75pt" o:ole="">
            <v:imagedata r:id="rId11" o:title=""/>
          </v:shape>
          <o:OLEObject Type="Embed" ProgID="Equation.3" ShapeID="_x0000_i1027" DrawAspect="Content" ObjectID="_1780998161" r:id="rId15"/>
        </w:object>
      </w:r>
      <w:r w:rsidRPr="00BE536E">
        <w:rPr>
          <w:rFonts w:ascii="Verdana" w:hAnsi="Verdana"/>
        </w:rPr>
        <w:t xml:space="preserve">) в соответствии с </w:t>
      </w:r>
      <w:hyperlink w:anchor="_Приложение_6._Метод" w:history="1">
        <w:r w:rsidR="00634895" w:rsidRPr="00BE536E">
          <w:rPr>
            <w:rFonts w:ascii="Verdana Pro" w:hAnsi="Verdana Pro"/>
          </w:rPr>
          <w:t xml:space="preserve">Приложением </w:t>
        </w:r>
      </w:hyperlink>
      <w:r w:rsidR="00634895" w:rsidRPr="00BE536E">
        <w:rPr>
          <w:rFonts w:ascii="Verdana Pro" w:hAnsi="Verdana Pro"/>
        </w:rPr>
        <w:t>4</w:t>
      </w:r>
      <w:r w:rsidRPr="00BE536E">
        <w:rPr>
          <w:rFonts w:ascii="Verdana" w:hAnsi="Verdana"/>
        </w:rPr>
        <w:t>.</w:t>
      </w:r>
    </w:p>
    <w:p w14:paraId="60BA8D31" w14:textId="77777777" w:rsidR="008B55E7" w:rsidRPr="00BE536E" w:rsidRDefault="008B55E7" w:rsidP="008B55E7">
      <w:pPr>
        <w:spacing w:before="120" w:after="120" w:line="360" w:lineRule="auto"/>
        <w:jc w:val="both"/>
        <w:rPr>
          <w:rFonts w:ascii="Verdana" w:hAnsi="Verdana"/>
        </w:rPr>
      </w:pPr>
    </w:p>
    <w:p w14:paraId="6FC76937" w14:textId="77777777" w:rsidR="008B55E7" w:rsidRPr="00BE536E" w:rsidRDefault="004B373A" w:rsidP="008B55E7">
      <w:pPr>
        <w:spacing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.3. Периодичность определения ставки дисконтирования</w:t>
      </w:r>
    </w:p>
    <w:p w14:paraId="501C49B5" w14:textId="77777777" w:rsidR="008B55E7" w:rsidRPr="00BE536E" w:rsidRDefault="008B55E7" w:rsidP="008B55E7">
      <w:pPr>
        <w:spacing w:before="120" w:after="120" w:line="360" w:lineRule="auto"/>
        <w:jc w:val="both"/>
        <w:rPr>
          <w:rFonts w:ascii="Verdana" w:hAnsi="Verdana"/>
        </w:rPr>
      </w:pPr>
      <w:r w:rsidRPr="00BE536E">
        <w:rPr>
          <w:rFonts w:ascii="Verdana" w:hAnsi="Verdana"/>
        </w:rPr>
        <w:t>Ставка дисконтирования определяется по состоянию на каждую дату определения справедливой стоимости, включая:</w:t>
      </w:r>
    </w:p>
    <w:p w14:paraId="68447FCA" w14:textId="77777777" w:rsidR="008B55E7" w:rsidRPr="00BE536E" w:rsidRDefault="008B55E7" w:rsidP="00D05311">
      <w:pPr>
        <w:numPr>
          <w:ilvl w:val="0"/>
          <w:numId w:val="30"/>
        </w:numPr>
        <w:spacing w:line="360" w:lineRule="auto"/>
        <w:ind w:left="709" w:hanging="612"/>
        <w:jc w:val="both"/>
        <w:rPr>
          <w:rFonts w:ascii="Verdana" w:hAnsi="Verdana"/>
        </w:rPr>
      </w:pPr>
      <w:r w:rsidRPr="00BE536E">
        <w:rPr>
          <w:rFonts w:ascii="Verdana" w:hAnsi="Verdana"/>
        </w:rPr>
        <w:t>дату первоначального признания актива (обязательства);</w:t>
      </w:r>
    </w:p>
    <w:p w14:paraId="26E75CD3" w14:textId="77777777" w:rsidR="008B55E7" w:rsidRPr="00BE536E" w:rsidRDefault="008B55E7" w:rsidP="00D05311">
      <w:pPr>
        <w:numPr>
          <w:ilvl w:val="0"/>
          <w:numId w:val="30"/>
        </w:numPr>
        <w:spacing w:line="360" w:lineRule="auto"/>
        <w:ind w:left="709" w:hanging="612"/>
        <w:jc w:val="both"/>
        <w:rPr>
          <w:rFonts w:ascii="Verdana" w:hAnsi="Verdana"/>
        </w:rPr>
      </w:pPr>
      <w:r w:rsidRPr="00BE536E">
        <w:rPr>
          <w:rFonts w:ascii="Verdana" w:hAnsi="Verdana"/>
        </w:rPr>
        <w:t>дату начала применения изменений и дополнений в настоящие Правила определения СЧА в части изменения вида рыночной ставки после первоначального признания актива (обязательства);</w:t>
      </w:r>
    </w:p>
    <w:p w14:paraId="14E0C879" w14:textId="77777777" w:rsidR="008B55E7" w:rsidRPr="00BE536E" w:rsidRDefault="008B55E7" w:rsidP="00D05311">
      <w:pPr>
        <w:numPr>
          <w:ilvl w:val="0"/>
          <w:numId w:val="30"/>
        </w:numPr>
        <w:autoSpaceDE w:val="0"/>
        <w:autoSpaceDN w:val="0"/>
        <w:adjustRightInd w:val="0"/>
        <w:spacing w:after="0" w:line="360" w:lineRule="auto"/>
        <w:ind w:left="709" w:hanging="612"/>
        <w:jc w:val="both"/>
        <w:rPr>
          <w:rFonts w:ascii="Verdana" w:hAnsi="Verdana"/>
        </w:rPr>
      </w:pPr>
      <w:r w:rsidRPr="00BE536E">
        <w:rPr>
          <w:rFonts w:ascii="Verdana" w:hAnsi="Verdana"/>
        </w:rPr>
        <w:t>дату изменения ключевой ставки Банка России, после первоначального признания актива (обязательства).</w:t>
      </w:r>
    </w:p>
    <w:p w14:paraId="0E7777D1" w14:textId="77777777" w:rsidR="008B55E7" w:rsidRPr="00BE536E" w:rsidRDefault="008B55E7" w:rsidP="008B55E7">
      <w:pPr>
        <w:spacing w:line="360" w:lineRule="auto"/>
        <w:ind w:left="709"/>
        <w:jc w:val="both"/>
        <w:rPr>
          <w:rFonts w:ascii="Verdana" w:hAnsi="Verdana"/>
        </w:rPr>
      </w:pPr>
    </w:p>
    <w:p w14:paraId="183C46B3"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.4. Порядок определения ставки дисконтирования для депозита</w:t>
      </w:r>
    </w:p>
    <w:p w14:paraId="5B70F63A" w14:textId="77777777" w:rsidR="008B55E7" w:rsidRPr="00BE536E" w:rsidRDefault="008B55E7" w:rsidP="008B55E7">
      <w:pPr>
        <w:spacing w:before="120" w:after="120" w:line="360" w:lineRule="auto"/>
        <w:jc w:val="both"/>
        <w:rPr>
          <w:rFonts w:ascii="Verdana" w:hAnsi="Verdana"/>
        </w:rPr>
      </w:pPr>
      <w:r w:rsidRPr="00BE536E">
        <w:rPr>
          <w:rFonts w:ascii="Verdana" w:hAnsi="Verdana"/>
        </w:rPr>
        <w:lastRenderedPageBreak/>
        <w:t>Ставка дисконтирования равна:</w:t>
      </w:r>
    </w:p>
    <w:p w14:paraId="17A2E790" w14:textId="77777777" w:rsidR="008B55E7" w:rsidRPr="00BE536E" w:rsidRDefault="008B55E7" w:rsidP="008B55E7">
      <w:pPr>
        <w:tabs>
          <w:tab w:val="left" w:pos="34"/>
        </w:tabs>
        <w:spacing w:after="0" w:line="240" w:lineRule="auto"/>
        <w:ind w:firstLine="601"/>
        <w:jc w:val="both"/>
      </w:pPr>
      <w:r w:rsidRPr="00BE536E">
        <w:rPr>
          <w:rFonts w:ascii="Verdana" w:hAnsi="Verdana"/>
          <w:b/>
        </w:rPr>
        <w:t xml:space="preserve">1)   ставке, предусмотренной договором в течение максимального срока, если ее  значение находится в пределах диапазона колебаний рыночной ставки на горизонте 3 месяцев с учетом последней раскрытой ставки </w:t>
      </w:r>
      <w:r w:rsidR="000A548A" w:rsidRPr="00BE536E">
        <w:rPr>
          <w:rFonts w:ascii="Verdana" w:hAnsi="Verdana"/>
          <w:b/>
        </w:rPr>
        <w:t xml:space="preserve"> </w:t>
      </w:r>
    </w:p>
    <w:p w14:paraId="5F9A46A5" w14:textId="77777777" w:rsidR="008B55E7" w:rsidRPr="00BE536E" w:rsidRDefault="008B55E7" w:rsidP="008B55E7">
      <w:pPr>
        <w:tabs>
          <w:tab w:val="left" w:pos="426"/>
        </w:tabs>
        <w:spacing w:line="312" w:lineRule="auto"/>
        <w:ind w:firstLine="1134"/>
        <w:contextualSpacing/>
        <w:jc w:val="both"/>
        <w:rPr>
          <w:rFonts w:ascii="Verdana" w:eastAsia="Batang" w:hAnsi="Verdana"/>
        </w:rPr>
      </w:pPr>
    </w:p>
    <w:p w14:paraId="3C94FEC9" w14:textId="77777777" w:rsidR="008B55E7" w:rsidRPr="00BE536E" w:rsidRDefault="008B55E7" w:rsidP="008B55E7">
      <w:pPr>
        <w:tabs>
          <w:tab w:val="left" w:pos="426"/>
        </w:tabs>
        <w:spacing w:line="312" w:lineRule="auto"/>
        <w:ind w:firstLine="1134"/>
        <w:contextualSpacing/>
        <w:jc w:val="both"/>
        <w:rPr>
          <w:rFonts w:ascii="Verdana" w:eastAsia="Batang" w:hAnsi="Verdana"/>
        </w:rPr>
      </w:pPr>
      <w:r w:rsidRPr="00BE536E">
        <w:rPr>
          <w:rFonts w:ascii="Verdana" w:eastAsia="Batang" w:hAnsi="Verdana"/>
        </w:rPr>
        <w:t>Диапазон рыночных ставок определяется в пределах (включительно):</w:t>
      </w:r>
    </w:p>
    <w:p w14:paraId="3AFF2C80" w14:textId="77777777" w:rsidR="008B55E7" w:rsidRPr="00BE536E" w:rsidRDefault="008B55E7" w:rsidP="00D05311">
      <w:pPr>
        <w:numPr>
          <w:ilvl w:val="0"/>
          <w:numId w:val="47"/>
        </w:numPr>
        <w:tabs>
          <w:tab w:val="left" w:pos="993"/>
        </w:tabs>
        <w:spacing w:line="312" w:lineRule="auto"/>
        <w:ind w:left="1434" w:hanging="357"/>
        <w:jc w:val="both"/>
        <w:rPr>
          <w:rFonts w:ascii="Verdana" w:eastAsia="Batang" w:hAnsi="Verdana"/>
        </w:rPr>
      </w:pPr>
      <w:r w:rsidRPr="00BE536E">
        <w:rPr>
          <w:rFonts w:ascii="Verdana" w:eastAsia="Batang" w:hAnsi="Verdana"/>
        </w:rPr>
        <w:t>от минимальной рыночной ставки, равной значению рыночной ставки на горизонте 3 месяцев с учетом последней раскрытой ставки, уменьшенному на величину спреда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color w:val="000000"/>
                <w:szCs w:val="24"/>
              </w:rPr>
              <m:t>рын.мин</m:t>
            </m:r>
          </m:sub>
        </m:sSub>
      </m:oMath>
      <w:r w:rsidRPr="00BE536E">
        <w:rPr>
          <w:rFonts w:ascii="Verdana" w:eastAsia="Batang" w:hAnsi="Verdana"/>
        </w:rPr>
        <w:t>),</w:t>
      </w:r>
    </w:p>
    <w:p w14:paraId="6A5B0F47" w14:textId="77777777" w:rsidR="008B55E7" w:rsidRPr="00BE536E" w:rsidRDefault="008B55E7" w:rsidP="00D05311">
      <w:pPr>
        <w:numPr>
          <w:ilvl w:val="0"/>
          <w:numId w:val="47"/>
        </w:numPr>
        <w:tabs>
          <w:tab w:val="left" w:pos="993"/>
        </w:tabs>
        <w:spacing w:line="312" w:lineRule="auto"/>
        <w:ind w:left="1434" w:hanging="357"/>
        <w:jc w:val="both"/>
        <w:rPr>
          <w:rFonts w:ascii="Verdana" w:eastAsia="Batang" w:hAnsi="Verdana"/>
        </w:rPr>
      </w:pPr>
      <w:r w:rsidRPr="00BE536E">
        <w:rPr>
          <w:rFonts w:ascii="Verdana" w:eastAsia="Batang" w:hAnsi="Verdana"/>
        </w:rPr>
        <w:t>до максимальной рыночной ставки, равной значению рыночной ставки на горизонте 3 месяцев с учетом последней раскрытой ставки, увеличенному на величину спреда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hint="eastAsia"/>
                <w:color w:val="000000"/>
                <w:szCs w:val="24"/>
              </w:rPr>
              <m:t>рын</m:t>
            </m:r>
            <m:r>
              <w:rPr>
                <w:rFonts w:ascii="Cambria Math" w:hAnsi="Cambria Math"/>
                <w:color w:val="000000"/>
                <w:szCs w:val="24"/>
              </w:rPr>
              <m:t>.макс</m:t>
            </m:r>
          </m:sub>
        </m:sSub>
      </m:oMath>
      <w:r w:rsidRPr="00BE536E">
        <w:rPr>
          <w:rFonts w:ascii="Verdana" w:eastAsia="Batang" w:hAnsi="Verdana"/>
        </w:rPr>
        <w:t>).</w:t>
      </w:r>
    </w:p>
    <w:p w14:paraId="4265FC65" w14:textId="77777777" w:rsidR="008B55E7" w:rsidRPr="00BE536E" w:rsidRDefault="008B55E7" w:rsidP="008B55E7">
      <w:pPr>
        <w:tabs>
          <w:tab w:val="left" w:pos="993"/>
        </w:tabs>
        <w:spacing w:line="312" w:lineRule="auto"/>
        <w:ind w:left="1434"/>
        <w:jc w:val="both"/>
        <w:rPr>
          <w:rFonts w:ascii="Verdana" w:eastAsia="Batang" w:hAnsi="Verdana"/>
        </w:rPr>
      </w:pPr>
    </w:p>
    <w:p w14:paraId="5D909438" w14:textId="77777777" w:rsidR="008B55E7" w:rsidRPr="00BE536E" w:rsidRDefault="008B55E7" w:rsidP="008B55E7">
      <w:pPr>
        <w:tabs>
          <w:tab w:val="left" w:pos="993"/>
        </w:tabs>
        <w:spacing w:line="312" w:lineRule="auto"/>
        <w:ind w:left="709"/>
        <w:jc w:val="both"/>
        <w:rPr>
          <w:rFonts w:ascii="Verdana" w:eastAsia="Batang" w:hAnsi="Verdana"/>
        </w:rPr>
      </w:pPr>
      <w:r w:rsidRPr="00BE536E">
        <w:rPr>
          <w:rFonts w:ascii="Verdana" w:eastAsia="Batang" w:hAnsi="Verdana"/>
        </w:rPr>
        <w:t>Спред (допустимое отклонение в процентах от значения рыночной ставки) устанавливается в размере стандартного отклонение (</w:t>
      </w:r>
      <m:oMath>
        <m:r>
          <m:rPr>
            <m:sty m:val="p"/>
          </m:rPr>
          <w:rPr>
            <w:rFonts w:ascii="Cambria Math" w:hAnsi="Cambria Math"/>
            <w:color w:val="000000"/>
            <w:sz w:val="32"/>
            <w:szCs w:val="24"/>
          </w:rPr>
          <m:t>σ</m:t>
        </m:r>
      </m:oMath>
      <w:r w:rsidRPr="00BE536E">
        <w:rPr>
          <w:rFonts w:ascii="Verdana" w:eastAsia="Batang" w:hAnsi="Verdana"/>
        </w:rPr>
        <w:t>) рыночных ставок на горизонте 3 месяцев с учетом последней раскрытой рыночной ставки и определяется по формуле</w:t>
      </w:r>
      <w:r w:rsidRPr="00BE536E">
        <w:rPr>
          <w:rStyle w:val="ab"/>
          <w:rFonts w:ascii="Verdana" w:eastAsia="Batang" w:hAnsi="Verdana"/>
          <w:sz w:val="22"/>
        </w:rPr>
        <w:footnoteReference w:id="6"/>
      </w:r>
      <w:r w:rsidRPr="00BE536E">
        <w:rPr>
          <w:rFonts w:ascii="Verdana" w:eastAsia="Batang" w:hAnsi="Verdana"/>
        </w:rPr>
        <w:t>:</w:t>
      </w:r>
    </w:p>
    <w:p w14:paraId="0E9306E8" w14:textId="77777777" w:rsidR="008B55E7" w:rsidRPr="00BE536E" w:rsidRDefault="008B55E7" w:rsidP="008B55E7">
      <w:pPr>
        <w:tabs>
          <w:tab w:val="left" w:pos="567"/>
        </w:tabs>
        <w:spacing w:after="0" w:line="360" w:lineRule="auto"/>
        <w:ind w:left="567"/>
        <w:jc w:val="both"/>
        <w:rPr>
          <w:rFonts w:ascii="Verdana" w:hAnsi="Verdana"/>
        </w:rPr>
      </w:pPr>
    </w:p>
    <w:p w14:paraId="397CAE99" w14:textId="77777777" w:rsidR="008B55E7" w:rsidRPr="00BE536E" w:rsidRDefault="008B55E7" w:rsidP="008B55E7">
      <w:pPr>
        <w:tabs>
          <w:tab w:val="left" w:pos="567"/>
        </w:tabs>
        <w:spacing w:after="0" w:line="360" w:lineRule="auto"/>
        <w:ind w:left="567"/>
        <w:jc w:val="both"/>
        <w:rPr>
          <w:rFonts w:ascii="Verdana" w:hAnsi="Verdana"/>
          <w:i/>
          <w:color w:val="000000"/>
          <w:sz w:val="24"/>
          <w:szCs w:val="24"/>
          <w:lang w:eastAsia="ru-RU"/>
        </w:rPr>
      </w:pPr>
      <m:oMathPara>
        <m:oMath>
          <m:r>
            <m:rPr>
              <m:sty m:val="p"/>
            </m:rPr>
            <w:rPr>
              <w:rFonts w:ascii="Cambria Math" w:eastAsia="Times New Roman" w:hAnsi="Cambria Math" w:hint="eastAsia"/>
              <w:color w:val="000000"/>
              <w:sz w:val="24"/>
              <w:szCs w:val="24"/>
              <w:lang w:eastAsia="ru-RU"/>
            </w:rPr>
            <m:t>σ</m:t>
          </m:r>
          <m:r>
            <m:rPr>
              <m:sty m:val="p"/>
            </m:rPr>
            <w:rPr>
              <w:rFonts w:ascii="Cambria Math" w:eastAsia="Times New Roman" w:hAnsi="Cambria Math"/>
              <w:color w:val="000000"/>
              <w:sz w:val="24"/>
              <w:szCs w:val="24"/>
              <w:lang w:eastAsia="ru-RU"/>
            </w:rPr>
            <m:t>=</m:t>
          </m:r>
          <m:r>
            <m:rPr>
              <m:sty m:val="p"/>
            </m:rPr>
            <w:rPr>
              <w:rFonts w:ascii="Cambria Math" w:eastAsia="Times New Roman" w:hAnsi="Cambria Math"/>
              <w:color w:val="000000"/>
              <w:szCs w:val="24"/>
              <w:lang w:eastAsia="ru-RU"/>
            </w:rPr>
            <m:t>ОКРУГЛ</m:t>
          </m:r>
          <m:r>
            <m:rPr>
              <m:sty m:val="p"/>
            </m:rPr>
            <w:rPr>
              <w:rFonts w:ascii="Cambria Math" w:eastAsia="Times New Roman" w:hAnsi="Cambria Math"/>
              <w:color w:val="000000"/>
              <w:sz w:val="24"/>
              <w:szCs w:val="24"/>
              <w:lang w:eastAsia="ru-RU"/>
            </w:rPr>
            <m:t>(</m:t>
          </m:r>
          <m:rad>
            <m:radPr>
              <m:degHide m:val="1"/>
              <m:ctrlPr>
                <w:rPr>
                  <w:rFonts w:ascii="Cambria Math" w:eastAsia="Times New Roman" w:hAnsi="Cambria Math"/>
                  <w:color w:val="000000"/>
                  <w:sz w:val="24"/>
                  <w:szCs w:val="24"/>
                  <w:lang w:eastAsia="ru-RU"/>
                </w:rPr>
              </m:ctrlPr>
            </m:radPr>
            <m:deg/>
            <m:e>
              <m:f>
                <m:fPr>
                  <m:ctrlPr>
                    <w:rPr>
                      <w:rFonts w:ascii="Cambria Math" w:eastAsia="Times New Roman" w:hAnsi="Cambria Math"/>
                      <w:i/>
                      <w:color w:val="000000"/>
                      <w:sz w:val="24"/>
                      <w:szCs w:val="24"/>
                      <w:lang w:eastAsia="ru-RU"/>
                    </w:rPr>
                  </m:ctrlPr>
                </m:fPr>
                <m:num>
                  <m:sSup>
                    <m:sSupPr>
                      <m:ctrlPr>
                        <w:rPr>
                          <w:rFonts w:ascii="Cambria Math" w:eastAsia="Times New Roman" w:hAnsi="Cambria Math"/>
                          <w:i/>
                          <w:color w:val="000000"/>
                          <w:sz w:val="24"/>
                          <w:szCs w:val="24"/>
                          <w:lang w:eastAsia="ru-RU"/>
                        </w:rPr>
                      </m:ctrlPr>
                    </m:sSupPr>
                    <m:e>
                      <m:nary>
                        <m:naryPr>
                          <m:chr m:val="∑"/>
                          <m:limLoc m:val="undOvr"/>
                          <m:ctrlPr>
                            <w:rPr>
                              <w:rFonts w:ascii="Cambria Math" w:eastAsia="Times New Roman" w:hAnsi="Cambria Math"/>
                              <w:color w:val="000000"/>
                              <w:sz w:val="24"/>
                              <w:szCs w:val="24"/>
                              <w:lang w:eastAsia="ru-RU"/>
                            </w:rPr>
                          </m:ctrlPr>
                        </m:naryPr>
                        <m:sub>
                          <m:r>
                            <w:rPr>
                              <w:rFonts w:ascii="Cambria Math" w:eastAsia="Times New Roman" w:hAnsi="Cambria Math"/>
                              <w:color w:val="000000"/>
                              <w:sz w:val="24"/>
                              <w:szCs w:val="24"/>
                              <w:lang w:val="en-US" w:eastAsia="ru-RU"/>
                            </w:rPr>
                            <m:t>i=</m:t>
                          </m:r>
                          <m:r>
                            <w:rPr>
                              <w:rFonts w:ascii="Cambria Math" w:eastAsia="Times New Roman" w:hAnsi="Cambria Math"/>
                              <w:color w:val="000000"/>
                              <w:sz w:val="24"/>
                              <w:szCs w:val="24"/>
                              <w:lang w:eastAsia="ru-RU"/>
                            </w:rPr>
                            <m:t>1</m:t>
                          </m:r>
                        </m:sub>
                        <m:sup>
                          <m:r>
                            <m:rPr>
                              <m:sty m:val="p"/>
                            </m:rPr>
                            <w:rPr>
                              <w:rFonts w:ascii="Cambria Math" w:eastAsia="Times New Roman" w:hAnsi="Cambria Math"/>
                              <w:color w:val="000000"/>
                              <w:sz w:val="24"/>
                              <w:szCs w:val="24"/>
                              <w:lang w:eastAsia="ru-RU"/>
                            </w:rPr>
                            <m:t>3</m:t>
                          </m:r>
                        </m:sup>
                        <m:e>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sSub>
                                <m:sSubPr>
                                  <m:ctrlPr>
                                    <w:rPr>
                                      <w:rFonts w:ascii="Cambria Math" w:eastAsia="Times New Roman" w:hAnsi="Cambria Math"/>
                                      <w:i/>
                                      <w:color w:val="000000"/>
                                      <w:sz w:val="24"/>
                                      <w:szCs w:val="24"/>
                                      <w:lang w:eastAsia="ru-RU"/>
                                    </w:rPr>
                                  </m:ctrlPr>
                                </m:sSubPr>
                                <m:e>
                                  <m:r>
                                    <w:rPr>
                                      <w:rFonts w:ascii="Cambria Math" w:eastAsia="Times New Roman" w:hAnsi="Cambria Math" w:hint="eastAsia"/>
                                      <w:color w:val="000000"/>
                                      <w:sz w:val="24"/>
                                      <w:szCs w:val="24"/>
                                      <w:lang w:eastAsia="ru-RU"/>
                                    </w:rPr>
                                    <m:t>рын</m:t>
                                  </m:r>
                                </m:e>
                                <m:sub>
                                  <m:r>
                                    <w:rPr>
                                      <w:rFonts w:ascii="Cambria Math" w:eastAsia="Times New Roman" w:hAnsi="Cambria Math"/>
                                      <w:color w:val="000000"/>
                                      <w:sz w:val="24"/>
                                      <w:szCs w:val="24"/>
                                      <w:lang w:val="en-US" w:eastAsia="ru-RU"/>
                                    </w:rPr>
                                    <m:t>i</m:t>
                                  </m:r>
                                </m:sub>
                              </m:sSub>
                            </m:sub>
                          </m:sSub>
                        </m:e>
                      </m:nary>
                      <m:r>
                        <w:rPr>
                          <w:rFonts w:ascii="Cambria Math" w:eastAsia="Times New Roman" w:hAnsi="Cambria Math"/>
                          <w:color w:val="000000"/>
                          <w:sz w:val="24"/>
                          <w:szCs w:val="24"/>
                          <w:lang w:eastAsia="ru-RU"/>
                        </w:rPr>
                        <m:t>-</m:t>
                      </m:r>
                      <m:bar>
                        <m:barPr>
                          <m:pos m:val="top"/>
                          <m:ctrlPr>
                            <w:rPr>
                              <w:rFonts w:ascii="Cambria Math" w:eastAsia="Times New Roman" w:hAnsi="Cambria Math"/>
                              <w:i/>
                              <w:color w:val="000000"/>
                              <w:sz w:val="24"/>
                              <w:szCs w:val="24"/>
                              <w:lang w:val="en-US" w:eastAsia="ru-RU"/>
                            </w:rPr>
                          </m:ctrlPr>
                        </m:barPr>
                        <m:e>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hint="eastAsia"/>
                                  <w:color w:val="000000"/>
                                  <w:sz w:val="24"/>
                                  <w:szCs w:val="24"/>
                                  <w:lang w:eastAsia="ru-RU"/>
                                </w:rPr>
                                <m:t>рын</m:t>
                              </m:r>
                            </m:sub>
                          </m:sSub>
                        </m:e>
                      </m:bar>
                      <m:r>
                        <m:rPr>
                          <m:sty m:val="p"/>
                        </m:rPr>
                        <w:rPr>
                          <w:rFonts w:ascii="Cambria Math" w:hAnsi="Cambria Math"/>
                          <w:color w:val="000000"/>
                          <w:sz w:val="24"/>
                          <w:szCs w:val="24"/>
                          <w:lang w:val="en-US" w:eastAsia="ru-RU"/>
                        </w:rPr>
                        <m:t>)</m:t>
                      </m:r>
                    </m:e>
                    <m:sup>
                      <m:r>
                        <w:rPr>
                          <w:rFonts w:ascii="Cambria Math" w:eastAsia="Times New Roman" w:hAnsi="Cambria Math"/>
                          <w:color w:val="000000"/>
                          <w:sz w:val="24"/>
                          <w:szCs w:val="24"/>
                          <w:lang w:eastAsia="ru-RU"/>
                        </w:rPr>
                        <m:t>2</m:t>
                      </m:r>
                    </m:sup>
                  </m:sSup>
                </m:num>
                <m:den>
                  <m:r>
                    <w:rPr>
                      <w:rFonts w:ascii="Cambria Math" w:eastAsia="Times New Roman" w:hAnsi="Cambria Math"/>
                      <w:color w:val="000000"/>
                      <w:sz w:val="24"/>
                      <w:szCs w:val="24"/>
                      <w:lang w:eastAsia="ru-RU"/>
                    </w:rPr>
                    <m:t>3</m:t>
                  </m:r>
                </m:den>
              </m:f>
              <m:r>
                <w:rPr>
                  <w:rFonts w:ascii="Cambria Math" w:eastAsia="Times New Roman" w:hAnsi="Cambria Math"/>
                  <w:color w:val="000000"/>
                  <w:sz w:val="24"/>
                  <w:szCs w:val="24"/>
                  <w:lang w:eastAsia="ru-RU"/>
                </w:rPr>
                <m:t>;2)</m:t>
              </m:r>
            </m:e>
          </m:rad>
        </m:oMath>
      </m:oMathPara>
    </w:p>
    <w:p w14:paraId="7F4305E2" w14:textId="77777777" w:rsidR="008B55E7" w:rsidRPr="00BE536E" w:rsidRDefault="008B55E7" w:rsidP="008B55E7">
      <w:pPr>
        <w:spacing w:after="0" w:line="312" w:lineRule="auto"/>
        <w:ind w:firstLine="709"/>
        <w:jc w:val="both"/>
        <w:rPr>
          <w:rFonts w:ascii="Verdana" w:hAnsi="Verdana"/>
          <w:szCs w:val="20"/>
        </w:rPr>
      </w:pPr>
      <w:r w:rsidRPr="00BE536E">
        <w:rPr>
          <w:rFonts w:ascii="Verdana" w:hAnsi="Verdana"/>
          <w:szCs w:val="20"/>
        </w:rPr>
        <w:t>где:</w:t>
      </w:r>
      <w:r w:rsidRPr="00BE536E">
        <w:rPr>
          <w:rFonts w:ascii="Verdana" w:hAnsi="Verdana"/>
          <w:szCs w:val="20"/>
        </w:rPr>
        <w:tab/>
      </w:r>
    </w:p>
    <w:p w14:paraId="4945BB4B" w14:textId="77777777" w:rsidR="008B55E7" w:rsidRPr="00BE536E" w:rsidRDefault="008B55E7" w:rsidP="008B55E7">
      <w:pPr>
        <w:spacing w:after="0" w:line="312" w:lineRule="auto"/>
        <w:ind w:left="1134"/>
        <w:jc w:val="both"/>
        <w:rPr>
          <w:rFonts w:ascii="Times New Roman" w:eastAsia="Times New Roman" w:hAnsi="Times New Roman"/>
          <w:sz w:val="24"/>
        </w:rPr>
      </w:pPr>
      <m:oMath>
        <m:r>
          <m:rPr>
            <m:sty m:val="p"/>
          </m:rPr>
          <w:rPr>
            <w:rFonts w:ascii="Cambria Math" w:eastAsia="Times New Roman" w:hAnsi="Cambria Math"/>
            <w:color w:val="000000"/>
            <w:sz w:val="32"/>
            <w:szCs w:val="24"/>
            <w:lang w:eastAsia="ru-RU"/>
          </w:rPr>
          <m:t>σ</m:t>
        </m:r>
      </m:oMath>
      <w:r w:rsidRPr="00BE536E">
        <w:rPr>
          <w:rFonts w:ascii="Times New Roman" w:eastAsia="Times New Roman" w:hAnsi="Times New Roman"/>
          <w:sz w:val="24"/>
        </w:rPr>
        <w:tab/>
      </w:r>
      <w:r w:rsidRPr="00BE536E">
        <w:rPr>
          <w:rFonts w:ascii="Times New Roman" w:eastAsia="Times New Roman" w:hAnsi="Times New Roman"/>
          <w:sz w:val="24"/>
        </w:rPr>
        <w:tab/>
        <w:t xml:space="preserve"> </w:t>
      </w:r>
      <w:r w:rsidRPr="00BE536E">
        <w:rPr>
          <w:rFonts w:ascii="Verdana" w:eastAsia="Times New Roman" w:hAnsi="Verdana"/>
          <w:szCs w:val="20"/>
        </w:rPr>
        <w:t xml:space="preserve">– </w:t>
      </w:r>
      <w:r w:rsidRPr="00BE536E">
        <w:rPr>
          <w:rFonts w:ascii="Verdana" w:eastAsia="Times New Roman" w:hAnsi="Verdana"/>
          <w:szCs w:val="20"/>
        </w:rPr>
        <w:tab/>
        <w:t>стандартное отклонение рыночных ставок;</w:t>
      </w:r>
    </w:p>
    <w:p w14:paraId="132F0065" w14:textId="77777777" w:rsidR="008B55E7" w:rsidRPr="00BE536E" w:rsidRDefault="00A3154D" w:rsidP="008B55E7">
      <w:pPr>
        <w:spacing w:after="0" w:line="312" w:lineRule="auto"/>
        <w:ind w:left="1134"/>
        <w:jc w:val="both"/>
        <w:rPr>
          <w:rFonts w:ascii="Times New Roman" w:eastAsia="Times New Roman" w:hAnsi="Times New Roman"/>
          <w:sz w:val="24"/>
        </w:rPr>
      </w:pPr>
      <m:oMath>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val="en-US" w:eastAsia="ru-RU"/>
              </w:rPr>
              <m:t>r</m:t>
            </m:r>
          </m:e>
          <m:sub>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eastAsia="ru-RU"/>
                  </w:rPr>
                  <m:t>рын</m:t>
                </m:r>
              </m:e>
              <m:sub>
                <m:r>
                  <w:rPr>
                    <w:rFonts w:ascii="Cambria Math" w:eastAsia="Times New Roman" w:hAnsi="Cambria Math"/>
                    <w:color w:val="000000"/>
                    <w:sz w:val="32"/>
                    <w:szCs w:val="24"/>
                    <w:lang w:val="en-US" w:eastAsia="ru-RU"/>
                  </w:rPr>
                  <m:t>i</m:t>
                </m:r>
              </m:sub>
            </m:sSub>
          </m:sub>
        </m:sSub>
      </m:oMath>
      <w:r w:rsidR="008B55E7" w:rsidRPr="00BE536E">
        <w:rPr>
          <w:rFonts w:ascii="Times New Roman" w:eastAsia="Times New Roman" w:hAnsi="Times New Roman"/>
          <w:color w:val="000000"/>
          <w:sz w:val="32"/>
          <w:szCs w:val="24"/>
          <w:lang w:eastAsia="ru-RU"/>
        </w:rPr>
        <w:t xml:space="preserve"> </w:t>
      </w:r>
      <w:r w:rsidR="008B55E7" w:rsidRPr="00BE536E">
        <w:rPr>
          <w:rFonts w:ascii="Times New Roman" w:eastAsia="Times New Roman" w:hAnsi="Times New Roman"/>
          <w:color w:val="000000"/>
          <w:sz w:val="32"/>
          <w:szCs w:val="24"/>
          <w:lang w:eastAsia="ru-RU"/>
        </w:rPr>
        <w:tab/>
      </w:r>
      <w:r w:rsidR="008B55E7" w:rsidRPr="00BE536E">
        <w:rPr>
          <w:rFonts w:ascii="Verdana" w:eastAsia="Times New Roman" w:hAnsi="Verdana"/>
          <w:szCs w:val="20"/>
        </w:rPr>
        <w:t xml:space="preserve">– </w:t>
      </w:r>
      <w:r w:rsidR="008B55E7" w:rsidRPr="00BE536E">
        <w:rPr>
          <w:rFonts w:ascii="Verdana" w:eastAsia="Times New Roman" w:hAnsi="Verdana"/>
          <w:szCs w:val="20"/>
        </w:rPr>
        <w:tab/>
        <w:t>значение рыночной ставки;</w:t>
      </w:r>
    </w:p>
    <w:p w14:paraId="0D2ED57F" w14:textId="77777777" w:rsidR="008B55E7" w:rsidRPr="00BE536E" w:rsidRDefault="00A3154D" w:rsidP="008B55E7">
      <w:pPr>
        <w:spacing w:after="0" w:line="312" w:lineRule="auto"/>
        <w:ind w:left="1134"/>
        <w:jc w:val="both"/>
        <w:rPr>
          <w:rFonts w:ascii="Times New Roman" w:eastAsia="Times New Roman" w:hAnsi="Times New Roman"/>
        </w:rPr>
      </w:pPr>
      <m:oMath>
        <m:bar>
          <m:barPr>
            <m:pos m:val="top"/>
            <m:ctrlPr>
              <w:rPr>
                <w:rFonts w:ascii="Cambria Math" w:eastAsia="Times New Roman" w:hAnsi="Cambria Math"/>
                <w:i/>
                <w:color w:val="000000"/>
                <w:sz w:val="32"/>
                <w:szCs w:val="24"/>
                <w:lang w:val="en-US" w:eastAsia="ru-RU"/>
              </w:rPr>
            </m:ctrlPr>
          </m:barPr>
          <m:e>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val="en-US" w:eastAsia="ru-RU"/>
                  </w:rPr>
                  <m:t>r</m:t>
                </m:r>
              </m:e>
              <m:sub>
                <m:r>
                  <w:rPr>
                    <w:rFonts w:ascii="Cambria Math" w:eastAsia="Times New Roman" w:hAnsi="Cambria Math"/>
                    <w:color w:val="000000"/>
                    <w:sz w:val="32"/>
                    <w:szCs w:val="24"/>
                    <w:lang w:eastAsia="ru-RU"/>
                  </w:rPr>
                  <m:t>рын</m:t>
                </m:r>
              </m:sub>
            </m:sSub>
          </m:e>
        </m:bar>
      </m:oMath>
      <w:r w:rsidR="008B55E7" w:rsidRPr="00BE536E">
        <w:rPr>
          <w:rFonts w:ascii="Times New Roman" w:eastAsia="Times New Roman" w:hAnsi="Times New Roman"/>
          <w:color w:val="000000"/>
          <w:sz w:val="32"/>
          <w:szCs w:val="24"/>
          <w:lang w:eastAsia="ru-RU"/>
        </w:rPr>
        <w:t xml:space="preserve"> </w:t>
      </w:r>
      <w:r w:rsidR="008B55E7" w:rsidRPr="00BE536E">
        <w:rPr>
          <w:rFonts w:ascii="Times New Roman" w:eastAsia="Times New Roman" w:hAnsi="Times New Roman"/>
          <w:color w:val="000000"/>
          <w:sz w:val="32"/>
          <w:szCs w:val="24"/>
          <w:lang w:eastAsia="ru-RU"/>
        </w:rPr>
        <w:tab/>
      </w:r>
      <w:r w:rsidR="008B55E7" w:rsidRPr="00BE536E">
        <w:rPr>
          <w:rFonts w:ascii="Verdana" w:eastAsia="Times New Roman" w:hAnsi="Verdana"/>
          <w:szCs w:val="20"/>
        </w:rPr>
        <w:t>–</w:t>
      </w:r>
      <w:r w:rsidR="008B55E7" w:rsidRPr="00BE536E">
        <w:rPr>
          <w:rFonts w:ascii="Verdana" w:eastAsia="Times New Roman" w:hAnsi="Verdana"/>
          <w:szCs w:val="20"/>
        </w:rPr>
        <w:tab/>
      </w:r>
      <w:r w:rsidR="008B55E7" w:rsidRPr="00BE536E">
        <w:rPr>
          <w:rFonts w:ascii="Times New Roman" w:eastAsia="Times New Roman" w:hAnsi="Times New Roman"/>
          <w:sz w:val="24"/>
        </w:rPr>
        <w:t xml:space="preserve"> </w:t>
      </w:r>
      <w:r w:rsidR="008B55E7" w:rsidRPr="00BE536E">
        <w:rPr>
          <w:rFonts w:ascii="Verdana" w:eastAsia="Times New Roman" w:hAnsi="Verdana"/>
          <w:szCs w:val="20"/>
        </w:rPr>
        <w:t>среднее значение рыночной ставки из генеральной совокупности рыночных ставок за 3 месяца</w:t>
      </w:r>
      <w:r w:rsidR="008B55E7" w:rsidRPr="00BE536E">
        <w:rPr>
          <w:rFonts w:ascii="Times New Roman" w:eastAsia="Times New Roman" w:hAnsi="Times New Roman"/>
        </w:rPr>
        <w:t>.</w:t>
      </w:r>
    </w:p>
    <w:p w14:paraId="58C12275" w14:textId="77777777" w:rsidR="008B55E7" w:rsidRPr="00BE536E" w:rsidRDefault="008B55E7" w:rsidP="008B55E7">
      <w:pPr>
        <w:spacing w:before="120" w:after="0" w:line="312" w:lineRule="auto"/>
        <w:jc w:val="both"/>
        <w:rPr>
          <w:rFonts w:ascii="Verdana" w:hAnsi="Verdana"/>
        </w:rPr>
      </w:pPr>
      <w:r w:rsidRPr="00BE536E">
        <w:rPr>
          <w:rFonts w:ascii="Verdana" w:hAnsi="Verdana"/>
        </w:rPr>
        <w:t xml:space="preserve">Значение </w:t>
      </w:r>
      <m:oMath>
        <m:r>
          <m:rPr>
            <m:sty m:val="p"/>
          </m:rPr>
          <w:rPr>
            <w:rFonts w:ascii="Cambria Math" w:hAnsi="Cambria Math"/>
            <w:sz w:val="28"/>
          </w:rPr>
          <m:t>σ</m:t>
        </m:r>
      </m:oMath>
      <w:r w:rsidRPr="00BE536E">
        <w:rPr>
          <w:rFonts w:ascii="Verdana" w:hAnsi="Verdana"/>
        </w:rPr>
        <w:t xml:space="preserve"> рассчитывается без промежуточных округлений и соответствует значению в процентах, округленному до 2 знаков после запятой.</w:t>
      </w:r>
    </w:p>
    <w:p w14:paraId="0453BAA0" w14:textId="77777777" w:rsidR="008B55E7" w:rsidRPr="00BE536E" w:rsidRDefault="008B55E7" w:rsidP="008B55E7">
      <w:pPr>
        <w:spacing w:before="120" w:after="120" w:line="360" w:lineRule="auto"/>
        <w:jc w:val="both"/>
        <w:rPr>
          <w:rFonts w:ascii="Verdana" w:hAnsi="Verdana"/>
        </w:rPr>
      </w:pPr>
      <w:r w:rsidRPr="00BE536E">
        <w:rPr>
          <w:rFonts w:ascii="Verdana" w:hAnsi="Verdana"/>
        </w:rPr>
        <w:lastRenderedPageBreak/>
        <w:t>Ставка по договору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hint="eastAsia"/>
              </w:rPr>
              <m:t>дог</m:t>
            </m:r>
          </m:sub>
        </m:sSub>
        <m:r>
          <m:rPr>
            <m:sty m:val="p"/>
          </m:rPr>
          <w:rPr>
            <w:rFonts w:ascii="Cambria Math" w:hAnsi="Cambria Math"/>
          </w:rPr>
          <m:t>)</m:t>
        </m:r>
      </m:oMath>
      <w:r w:rsidRPr="00BE536E">
        <w:rPr>
          <w:rFonts w:ascii="Verdana" w:hAnsi="Verdana"/>
        </w:rPr>
        <w:t xml:space="preserve"> применяется в качестве ставки дисконтирования, если соблюдается условие:</w:t>
      </w:r>
    </w:p>
    <w:p w14:paraId="1B2B309E" w14:textId="77777777" w:rsidR="008B55E7" w:rsidRPr="00BE536E" w:rsidRDefault="008B55E7" w:rsidP="008B55E7">
      <w:pPr>
        <w:tabs>
          <w:tab w:val="left" w:pos="567"/>
        </w:tabs>
        <w:spacing w:after="0" w:line="360" w:lineRule="auto"/>
        <w:jc w:val="center"/>
        <w:rPr>
          <w:rFonts w:ascii="Verdana" w:hAnsi="Verdana"/>
          <w:color w:val="000000"/>
          <w:sz w:val="24"/>
          <w:szCs w:val="24"/>
          <w:lang w:eastAsia="ru-RU"/>
        </w:rPr>
      </w:pPr>
      <m:oMath>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color w:val="000000"/>
                <w:sz w:val="24"/>
                <w:szCs w:val="24"/>
                <w:lang w:eastAsia="ru-RU"/>
              </w:rPr>
              <m:t>рын.мин</m:t>
            </m:r>
          </m:sub>
        </m:sSub>
        <m:r>
          <w:rPr>
            <w:rFonts w:ascii="Cambria Math" w:hAnsi="Cambria Math"/>
          </w:rPr>
          <m:t>-</m:t>
        </m:r>
        <m:r>
          <m:rPr>
            <m:sty m:val="p"/>
          </m:rPr>
          <w:rPr>
            <w:rFonts w:ascii="Cambria Math" w:eastAsia="Times New Roman" w:hAnsi="Cambria Math"/>
            <w:color w:val="000000"/>
            <w:sz w:val="24"/>
            <w:szCs w:val="24"/>
            <w:lang w:eastAsia="ru-RU"/>
          </w:rPr>
          <m:t>σ)</m:t>
        </m:r>
        <m: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дог</m:t>
            </m:r>
          </m:sub>
        </m:sSub>
        <m:r>
          <w:rPr>
            <w:rFonts w:ascii="Cambria Math" w:hAnsi="Cambria Math"/>
          </w:rPr>
          <m:t>≤</m:t>
        </m:r>
      </m:oMath>
      <w:r w:rsidRPr="00BE536E">
        <w:rPr>
          <w:rFonts w:ascii="Verdana" w:hAnsi="Verdana"/>
        </w:rPr>
        <w:t xml:space="preserve"> </w:t>
      </w:r>
      <m:oMath>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hint="eastAsia"/>
                <w:color w:val="000000"/>
                <w:sz w:val="24"/>
                <w:szCs w:val="24"/>
                <w:lang w:eastAsia="ru-RU"/>
              </w:rPr>
              <m:t>рын</m:t>
            </m:r>
            <m:r>
              <w:rPr>
                <w:rFonts w:ascii="Cambria Math" w:eastAsia="Times New Roman" w:hAnsi="Cambria Math"/>
                <w:color w:val="000000"/>
                <w:sz w:val="24"/>
                <w:szCs w:val="24"/>
                <w:lang w:eastAsia="ru-RU"/>
              </w:rPr>
              <m:t>.макс</m:t>
            </m:r>
          </m:sub>
        </m:sSub>
        <m:r>
          <m:rPr>
            <m:sty m:val="p"/>
          </m:rPr>
          <w:rPr>
            <w:rFonts w:ascii="Cambria Math" w:eastAsia="Times New Roman" w:hAnsi="Cambria Math"/>
            <w:color w:val="000000"/>
            <w:sz w:val="24"/>
            <w:szCs w:val="24"/>
            <w:lang w:eastAsia="ru-RU"/>
          </w:rPr>
          <m:t>+</m:t>
        </m:r>
        <m:r>
          <m:rPr>
            <m:sty m:val="p"/>
          </m:rPr>
          <w:rPr>
            <w:rFonts w:ascii="Cambria Math" w:eastAsia="Times New Roman" w:hAnsi="Cambria Math" w:hint="eastAsia"/>
            <w:color w:val="000000"/>
            <w:sz w:val="24"/>
            <w:szCs w:val="24"/>
            <w:lang w:eastAsia="ru-RU"/>
          </w:rPr>
          <m:t>σ</m:t>
        </m:r>
        <m:r>
          <m:rPr>
            <m:sty m:val="p"/>
          </m:rPr>
          <w:rPr>
            <w:rFonts w:ascii="Cambria Math" w:eastAsia="Times New Roman" w:hAnsi="Cambria Math"/>
            <w:color w:val="000000"/>
            <w:sz w:val="24"/>
            <w:szCs w:val="24"/>
            <w:lang w:eastAsia="ru-RU"/>
          </w:rPr>
          <m:t>)</m:t>
        </m:r>
      </m:oMath>
    </w:p>
    <w:p w14:paraId="62F4E27B" w14:textId="77777777" w:rsidR="008B55E7" w:rsidRPr="00BE536E" w:rsidRDefault="008B55E7" w:rsidP="008B55E7">
      <w:pPr>
        <w:tabs>
          <w:tab w:val="left" w:pos="426"/>
        </w:tabs>
        <w:spacing w:line="312" w:lineRule="auto"/>
        <w:contextualSpacing/>
        <w:jc w:val="both"/>
        <w:rPr>
          <w:rFonts w:ascii="Verdana" w:eastAsia="Batang" w:hAnsi="Verdana"/>
          <w:sz w:val="20"/>
        </w:rPr>
      </w:pPr>
    </w:p>
    <w:p w14:paraId="67A174A7" w14:textId="77777777" w:rsidR="008B55E7" w:rsidRPr="00BE536E" w:rsidRDefault="008B55E7" w:rsidP="008B55E7">
      <w:pPr>
        <w:tabs>
          <w:tab w:val="left" w:pos="426"/>
        </w:tabs>
        <w:spacing w:line="312" w:lineRule="auto"/>
        <w:contextualSpacing/>
        <w:jc w:val="both"/>
        <w:rPr>
          <w:rFonts w:ascii="Verdana" w:eastAsia="Batang" w:hAnsi="Verdana"/>
        </w:rPr>
      </w:pPr>
      <w:r w:rsidRPr="00BE536E">
        <w:rPr>
          <w:rFonts w:ascii="Verdana" w:eastAsia="Batang" w:hAnsi="Verdana"/>
        </w:rPr>
        <w:t>В качестве рыночных ставок для депозитов применяются значения средневзвешенных процентных ставок по привлеченным кредитными организациями вкладам (депозитам) нефинансовых организаций в рублях и иностранной валюте,  раскрываемые на официальном сайте Банка России</w:t>
      </w:r>
      <w:r w:rsidRPr="00BE536E">
        <w:rPr>
          <w:rFonts w:ascii="Verdana" w:eastAsia="Batang" w:hAnsi="Verdana"/>
          <w:vertAlign w:val="superscript"/>
        </w:rPr>
        <w:footnoteReference w:id="7"/>
      </w:r>
      <w:r w:rsidRPr="00BE536E">
        <w:rPr>
          <w:rFonts w:ascii="Verdana" w:eastAsia="Batang" w:hAnsi="Verdana"/>
        </w:rPr>
        <w:t xml:space="preserve">. </w:t>
      </w:r>
    </w:p>
    <w:p w14:paraId="3805210E" w14:textId="77777777" w:rsidR="008B55E7" w:rsidRPr="00BE536E" w:rsidRDefault="008B55E7" w:rsidP="00567222">
      <w:pPr>
        <w:spacing w:line="312" w:lineRule="auto"/>
        <w:jc w:val="both"/>
        <w:rPr>
          <w:rFonts w:eastAsia="Batang"/>
          <w:lang w:eastAsia="ru-RU"/>
        </w:rPr>
      </w:pPr>
      <w:r w:rsidRPr="00BE536E">
        <w:rPr>
          <w:rFonts w:eastAsia="Batang"/>
          <w:color w:val="000000"/>
          <w:lang w:eastAsia="ru-RU"/>
        </w:rPr>
        <w:t xml:space="preserve">Используются средневзвешенные ставки в рублях и иностранной валюте, раскрываемые на официальном сайте Банка России </w:t>
      </w:r>
      <w:r w:rsidRPr="00BE536E">
        <w:rPr>
          <w:rFonts w:eastAsia="Batang"/>
          <w:lang w:eastAsia="ru-RU"/>
        </w:rPr>
        <w:t>в целом по Российской федерации/</w:t>
      </w:r>
    </w:p>
    <w:p w14:paraId="37D1EFA0" w14:textId="77777777" w:rsidR="008B55E7" w:rsidRPr="00BE536E" w:rsidRDefault="008B55E7" w:rsidP="008B55E7">
      <w:pPr>
        <w:spacing w:line="312" w:lineRule="auto"/>
        <w:ind w:left="426"/>
        <w:jc w:val="both"/>
        <w:rPr>
          <w:rFonts w:eastAsia="Batang"/>
          <w:lang w:eastAsia="ru-RU"/>
        </w:rPr>
      </w:pPr>
      <w:r w:rsidRPr="00BE536E">
        <w:rPr>
          <w:rFonts w:eastAsia="Batang"/>
          <w:lang w:eastAsia="ru-RU"/>
        </w:rPr>
        <w:t xml:space="preserve">  </w:t>
      </w:r>
    </w:p>
    <w:p w14:paraId="0BE2A94A" w14:textId="77777777" w:rsidR="008B55E7" w:rsidRPr="00BE536E" w:rsidRDefault="008B55E7" w:rsidP="008B55E7">
      <w:pPr>
        <w:spacing w:line="312" w:lineRule="auto"/>
        <w:jc w:val="both"/>
        <w:rPr>
          <w:rFonts w:cs="Arial"/>
        </w:rPr>
      </w:pPr>
      <w:r w:rsidRPr="00BE536E">
        <w:rPr>
          <w:rFonts w:eastAsia="Batang"/>
          <w:color w:val="000000"/>
          <w:lang w:eastAsia="ru-RU"/>
        </w:rPr>
        <w:t xml:space="preserve">Средневзвешенные ставки определяются с использованием </w:t>
      </w:r>
      <w:r w:rsidRPr="00BE536E">
        <w:rPr>
          <w:rFonts w:cs="Arial"/>
        </w:rPr>
        <w:t>шкалы (развернутой), включающей позиции:</w:t>
      </w:r>
    </w:p>
    <w:p w14:paraId="11853F65" w14:textId="77777777" w:rsidR="008B55E7" w:rsidRPr="00BE536E"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до 30 дней, кроме до востребования</w:t>
      </w:r>
    </w:p>
    <w:p w14:paraId="3FDDD26B" w14:textId="77777777" w:rsidR="008B55E7" w:rsidRPr="00BE536E"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31 до 90 календарных дней;</w:t>
      </w:r>
    </w:p>
    <w:p w14:paraId="3BDE2CB6" w14:textId="77777777" w:rsidR="008B55E7" w:rsidRPr="00BE536E"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91 до 180 календарных дней;</w:t>
      </w:r>
    </w:p>
    <w:p w14:paraId="556613CA" w14:textId="77777777" w:rsidR="008B55E7" w:rsidRPr="00BE536E"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181 календарных дней до 1 года;</w:t>
      </w:r>
    </w:p>
    <w:p w14:paraId="481205C6" w14:textId="77777777" w:rsidR="008B55E7" w:rsidRPr="00BE536E"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1 года до 3 лет;</w:t>
      </w:r>
    </w:p>
    <w:p w14:paraId="76744B27" w14:textId="77777777" w:rsidR="008B55E7" w:rsidRPr="00BE536E"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свыше 3 лет</w:t>
      </w:r>
    </w:p>
    <w:p w14:paraId="66740948" w14:textId="77777777" w:rsidR="008B55E7" w:rsidRPr="00BE536E" w:rsidRDefault="008B55E7" w:rsidP="008B55E7">
      <w:pPr>
        <w:tabs>
          <w:tab w:val="left" w:pos="993"/>
        </w:tabs>
        <w:spacing w:before="120" w:line="312" w:lineRule="auto"/>
        <w:ind w:left="1418"/>
        <w:contextualSpacing/>
        <w:jc w:val="both"/>
        <w:rPr>
          <w:rFonts w:ascii="Verdana" w:eastAsia="Batang" w:hAnsi="Verdana"/>
          <w:sz w:val="20"/>
        </w:rPr>
      </w:pPr>
    </w:p>
    <w:p w14:paraId="0C950193" w14:textId="77777777" w:rsidR="008B55E7" w:rsidRPr="00BE536E" w:rsidRDefault="008B55E7" w:rsidP="008B55E7">
      <w:pPr>
        <w:tabs>
          <w:tab w:val="left" w:pos="993"/>
        </w:tabs>
        <w:spacing w:line="312" w:lineRule="auto"/>
        <w:jc w:val="both"/>
        <w:rPr>
          <w:rFonts w:ascii="Verdana" w:eastAsia="Batang" w:hAnsi="Verdana"/>
        </w:rPr>
      </w:pPr>
      <w:r w:rsidRPr="00BE536E">
        <w:rPr>
          <w:rFonts w:ascii="Verdana" w:eastAsia="Batang" w:hAnsi="Verdana"/>
        </w:rPr>
        <w:t>Рыночной ставкой в отношении депозита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депозита, на срок, сопоставимый с ожидаемым сроком размещения, рассчитанным от даты определения справедливой стоимости.</w:t>
      </w:r>
    </w:p>
    <w:p w14:paraId="4B6A25E4" w14:textId="77777777" w:rsidR="008B55E7" w:rsidRPr="00BE536E" w:rsidRDefault="008B55E7" w:rsidP="008B55E7">
      <w:pPr>
        <w:spacing w:before="240" w:after="240" w:line="360" w:lineRule="auto"/>
        <w:jc w:val="both"/>
        <w:rPr>
          <w:rFonts w:ascii="Verdana" w:hAnsi="Verdana"/>
          <w:bCs/>
          <w:i/>
          <w:iCs/>
          <w:color w:val="943634"/>
        </w:rPr>
      </w:pPr>
      <w:r w:rsidRPr="00BE536E">
        <w:rPr>
          <w:rFonts w:ascii="Verdana" w:eastAsia="Batang" w:hAnsi="Verdana"/>
        </w:rPr>
        <w:t xml:space="preserve">Если наиболее поздняя  средневзвешенная процентная ставка, раскрытая на сайте Банка России, рассчитана ранее, чем за месяц до даты определения справедливой стоимости, рыночная ставка подлежит анализу на необходимость корректировки (см. раздел </w:t>
      </w:r>
      <w:r w:rsidR="004B373A" w:rsidRPr="00BE536E">
        <w:rPr>
          <w:rFonts w:ascii="Verdana" w:eastAsia="Batang" w:hAnsi="Verdana"/>
        </w:rPr>
        <w:t>4</w:t>
      </w:r>
      <w:r w:rsidRPr="00BE536E">
        <w:rPr>
          <w:rFonts w:ascii="Verdana" w:eastAsia="Batang" w:hAnsi="Verdana"/>
        </w:rPr>
        <w:t>.6. Порядок корректировки рыночной ставки  настоящего Приложения).</w:t>
      </w:r>
    </w:p>
    <w:p w14:paraId="423C6C3A" w14:textId="77777777" w:rsidR="008B55E7" w:rsidRPr="00BE536E" w:rsidRDefault="008B55E7" w:rsidP="008B55E7">
      <w:pPr>
        <w:tabs>
          <w:tab w:val="left" w:pos="993"/>
        </w:tabs>
        <w:spacing w:line="312" w:lineRule="auto"/>
        <w:jc w:val="both"/>
        <w:rPr>
          <w:rFonts w:ascii="Verdana" w:eastAsia="Batang" w:hAnsi="Verdana"/>
        </w:rPr>
      </w:pPr>
    </w:p>
    <w:p w14:paraId="2310C317" w14:textId="77777777" w:rsidR="008B55E7" w:rsidRPr="00BE536E" w:rsidRDefault="008B55E7" w:rsidP="00D05311">
      <w:pPr>
        <w:numPr>
          <w:ilvl w:val="0"/>
          <w:numId w:val="50"/>
        </w:numPr>
        <w:tabs>
          <w:tab w:val="left" w:pos="567"/>
        </w:tabs>
        <w:spacing w:after="0" w:line="360" w:lineRule="auto"/>
        <w:jc w:val="both"/>
        <w:rPr>
          <w:rFonts w:ascii="Verdana" w:eastAsia="Batang" w:hAnsi="Verdana"/>
          <w:b/>
          <w:szCs w:val="20"/>
          <w:lang w:eastAsia="ru-RU"/>
        </w:rPr>
      </w:pPr>
      <w:r w:rsidRPr="00BE536E">
        <w:rPr>
          <w:rFonts w:ascii="Verdana" w:eastAsia="Batang" w:hAnsi="Verdana"/>
          <w:b/>
          <w:szCs w:val="20"/>
          <w:lang w:eastAsia="ru-RU"/>
        </w:rPr>
        <w:t>рыночной ставке, скорректированной на изменение ключевой ставки, если ставка по договору выходит за границы диапазона рыночных ставок (см. пункт выше) или если ставка по договору не установлена.</w:t>
      </w:r>
    </w:p>
    <w:p w14:paraId="551910E9" w14:textId="77777777" w:rsidR="008B55E7" w:rsidRPr="00BE536E" w:rsidRDefault="008B55E7" w:rsidP="008B55E7">
      <w:pPr>
        <w:tabs>
          <w:tab w:val="left" w:pos="567"/>
        </w:tabs>
        <w:spacing w:after="0" w:line="360" w:lineRule="auto"/>
        <w:ind w:left="1287"/>
        <w:jc w:val="both"/>
        <w:rPr>
          <w:rFonts w:ascii="Verdana" w:eastAsia="Batang" w:hAnsi="Verdana"/>
          <w:b/>
          <w:szCs w:val="20"/>
          <w:lang w:eastAsia="ru-RU"/>
        </w:rPr>
      </w:pPr>
    </w:p>
    <w:p w14:paraId="3DAAA664" w14:textId="77777777" w:rsidR="008B55E7" w:rsidRPr="00BE536E" w:rsidRDefault="008B55E7" w:rsidP="008B55E7">
      <w:pPr>
        <w:tabs>
          <w:tab w:val="left" w:pos="567"/>
        </w:tabs>
        <w:spacing w:after="0" w:line="360" w:lineRule="auto"/>
        <w:ind w:left="1287"/>
        <w:jc w:val="both"/>
        <w:rPr>
          <w:rFonts w:ascii="Verdana" w:eastAsia="Batang" w:hAnsi="Verdana"/>
          <w:szCs w:val="20"/>
          <w:lang w:eastAsia="ru-RU"/>
        </w:rPr>
      </w:pPr>
      <w:r w:rsidRPr="00BE536E">
        <w:rPr>
          <w:rFonts w:ascii="Verdana" w:eastAsia="Batang" w:hAnsi="Verdana"/>
          <w:szCs w:val="20"/>
          <w:lang w:eastAsia="ru-RU"/>
        </w:rPr>
        <w:t xml:space="preserve">Порядок корректировки рыночной ставки на изменение ключевой ставки описан в подразделе </w:t>
      </w:r>
      <w:r w:rsidR="004B373A" w:rsidRPr="00BE536E">
        <w:rPr>
          <w:rFonts w:ascii="Verdana" w:eastAsia="Batang" w:hAnsi="Verdana"/>
          <w:szCs w:val="20"/>
          <w:lang w:eastAsia="ru-RU"/>
        </w:rPr>
        <w:t>4</w:t>
      </w:r>
      <w:r w:rsidRPr="00BE536E">
        <w:rPr>
          <w:rFonts w:ascii="Verdana" w:eastAsia="Batang" w:hAnsi="Verdana"/>
          <w:szCs w:val="20"/>
          <w:lang w:eastAsia="ru-RU"/>
        </w:rPr>
        <w:t>.6. настоящего Приложения.</w:t>
      </w:r>
    </w:p>
    <w:p w14:paraId="56BE2BCF" w14:textId="77777777" w:rsidR="008B55E7" w:rsidRPr="00BE536E" w:rsidRDefault="008B55E7" w:rsidP="008B55E7">
      <w:pPr>
        <w:tabs>
          <w:tab w:val="left" w:pos="567"/>
        </w:tabs>
        <w:spacing w:after="0" w:line="360" w:lineRule="auto"/>
        <w:ind w:left="1287"/>
        <w:jc w:val="both"/>
        <w:rPr>
          <w:rFonts w:ascii="Verdana" w:eastAsia="Batang" w:hAnsi="Verdana"/>
          <w:szCs w:val="20"/>
          <w:lang w:eastAsia="ru-RU"/>
        </w:rPr>
      </w:pPr>
    </w:p>
    <w:p w14:paraId="58A38A1A"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.5. Порядок определения ставки дисконтирования для долгосрочной аренды (ПИФ - арендатор)</w:t>
      </w:r>
    </w:p>
    <w:p w14:paraId="14F5E27C" w14:textId="77777777" w:rsidR="008B55E7" w:rsidRPr="00BE536E" w:rsidRDefault="008B55E7" w:rsidP="008B55E7">
      <w:pPr>
        <w:spacing w:before="120" w:after="120" w:line="360" w:lineRule="auto"/>
        <w:jc w:val="both"/>
        <w:rPr>
          <w:rFonts w:ascii="Verdana" w:hAnsi="Verdana"/>
        </w:rPr>
      </w:pPr>
      <w:r w:rsidRPr="00BE536E">
        <w:rPr>
          <w:rFonts w:ascii="Verdana" w:hAnsi="Verdana"/>
        </w:rPr>
        <w:t>Ставка дисконтирования равна:</w:t>
      </w:r>
    </w:p>
    <w:p w14:paraId="37FE7D1F" w14:textId="77777777" w:rsidR="008B55E7" w:rsidRPr="00BE536E" w:rsidRDefault="008B55E7" w:rsidP="00D05311">
      <w:pPr>
        <w:numPr>
          <w:ilvl w:val="0"/>
          <w:numId w:val="49"/>
        </w:numPr>
        <w:spacing w:before="240" w:after="240" w:line="360" w:lineRule="auto"/>
        <w:jc w:val="both"/>
        <w:rPr>
          <w:rFonts w:ascii="Verdana" w:hAnsi="Verdana"/>
          <w:bCs/>
          <w:i/>
          <w:iCs/>
          <w:color w:val="943634"/>
        </w:rPr>
      </w:pPr>
      <w:r w:rsidRPr="00BE536E">
        <w:rPr>
          <w:rFonts w:ascii="Verdana" w:hAnsi="Verdana"/>
          <w:b/>
        </w:rPr>
        <w:t>ставке, предусмотренной договором аренды</w:t>
      </w:r>
    </w:p>
    <w:p w14:paraId="3912F271" w14:textId="77777777" w:rsidR="008B55E7" w:rsidRPr="00BE536E" w:rsidRDefault="008B55E7" w:rsidP="00D05311">
      <w:pPr>
        <w:numPr>
          <w:ilvl w:val="0"/>
          <w:numId w:val="49"/>
        </w:numPr>
        <w:spacing w:before="240" w:after="240" w:line="360" w:lineRule="auto"/>
        <w:jc w:val="both"/>
        <w:rPr>
          <w:rFonts w:ascii="Verdana" w:hAnsi="Verdana"/>
          <w:bCs/>
          <w:i/>
          <w:iCs/>
          <w:color w:val="943634"/>
        </w:rPr>
      </w:pPr>
      <w:r w:rsidRPr="00BE536E">
        <w:rPr>
          <w:rFonts w:ascii="Verdana" w:eastAsia="Batang" w:hAnsi="Verdana"/>
          <w:b/>
          <w:szCs w:val="20"/>
          <w:lang w:eastAsia="ru-RU"/>
        </w:rPr>
        <w:t>рыночной ставке, скорректированной на изменение ключевой ставки, в случае, если ставка по договору не установлена.</w:t>
      </w:r>
    </w:p>
    <w:p w14:paraId="26EBAD46" w14:textId="77777777" w:rsidR="008B55E7" w:rsidRPr="00BE536E" w:rsidRDefault="008B55E7" w:rsidP="008B55E7">
      <w:pPr>
        <w:tabs>
          <w:tab w:val="left" w:pos="567"/>
        </w:tabs>
        <w:spacing w:after="0" w:line="360" w:lineRule="auto"/>
        <w:jc w:val="both"/>
        <w:rPr>
          <w:rFonts w:ascii="Verdana" w:eastAsia="Batang" w:hAnsi="Verdana"/>
          <w:szCs w:val="20"/>
          <w:lang w:eastAsia="ru-RU"/>
        </w:rPr>
      </w:pPr>
      <w:r w:rsidRPr="00BE536E">
        <w:rPr>
          <w:rFonts w:ascii="Verdana" w:eastAsia="Batang" w:hAnsi="Verdana"/>
          <w:szCs w:val="20"/>
          <w:lang w:eastAsia="ru-RU"/>
        </w:rPr>
        <w:t xml:space="preserve">Порядок корректировки рыночной ставки на изменение ключевой ставки описан в подразделе </w:t>
      </w:r>
      <w:r w:rsidR="004B373A" w:rsidRPr="00BE536E">
        <w:rPr>
          <w:rFonts w:ascii="Verdana" w:eastAsia="Batang" w:hAnsi="Verdana"/>
          <w:szCs w:val="20"/>
          <w:lang w:eastAsia="ru-RU"/>
        </w:rPr>
        <w:t>4</w:t>
      </w:r>
      <w:r w:rsidRPr="00BE536E">
        <w:rPr>
          <w:rFonts w:ascii="Verdana" w:eastAsia="Batang" w:hAnsi="Verdana"/>
          <w:szCs w:val="20"/>
          <w:lang w:eastAsia="ru-RU"/>
        </w:rPr>
        <w:t>.6. настоящего Приложения.</w:t>
      </w:r>
    </w:p>
    <w:p w14:paraId="3A631033" w14:textId="77777777" w:rsidR="008B55E7" w:rsidRPr="00BE536E" w:rsidRDefault="008B55E7" w:rsidP="008B55E7">
      <w:pPr>
        <w:tabs>
          <w:tab w:val="left" w:pos="567"/>
        </w:tabs>
        <w:spacing w:after="0" w:line="360" w:lineRule="auto"/>
        <w:jc w:val="both"/>
        <w:rPr>
          <w:rFonts w:ascii="Verdana" w:eastAsia="Batang" w:hAnsi="Verdana"/>
          <w:szCs w:val="20"/>
          <w:lang w:eastAsia="ru-RU"/>
        </w:rPr>
      </w:pPr>
    </w:p>
    <w:p w14:paraId="05715018" w14:textId="77777777" w:rsidR="008B55E7" w:rsidRPr="00BE536E" w:rsidRDefault="008B55E7" w:rsidP="008B55E7">
      <w:pPr>
        <w:tabs>
          <w:tab w:val="left" w:pos="567"/>
        </w:tabs>
        <w:spacing w:after="0" w:line="360" w:lineRule="auto"/>
        <w:jc w:val="both"/>
        <w:rPr>
          <w:rFonts w:ascii="Verdana" w:eastAsia="Batang" w:hAnsi="Verdana"/>
          <w:szCs w:val="20"/>
          <w:lang w:eastAsia="ru-RU"/>
        </w:rPr>
      </w:pPr>
      <w:r w:rsidRPr="00BE536E">
        <w:rPr>
          <w:rFonts w:ascii="Verdana" w:eastAsia="Batang" w:hAnsi="Verdana"/>
        </w:rPr>
        <w:t>В качестве рыночных ставок для долгосрочной аренды применяются значения средневзвешенных процентных ставок по кредитам, предоставленным кредитными организациями нефинансовым организациям</w:t>
      </w:r>
      <w:r w:rsidRPr="00BE536E">
        <w:rPr>
          <w:rFonts w:ascii="Verdana" w:hAnsi="Verdana"/>
          <w:sz w:val="20"/>
          <w:szCs w:val="20"/>
        </w:rPr>
        <w:t xml:space="preserve"> </w:t>
      </w:r>
      <w:r w:rsidRPr="00BE536E">
        <w:rPr>
          <w:rFonts w:ascii="Verdana" w:eastAsia="Batang" w:hAnsi="Verdana"/>
        </w:rPr>
        <w:t>в рублях и иностранной валюте,  раскрываемые на официальном сайте Банка России</w:t>
      </w:r>
      <w:r w:rsidRPr="00BE536E">
        <w:rPr>
          <w:rFonts w:ascii="Verdana" w:eastAsia="Batang" w:hAnsi="Verdana"/>
          <w:vertAlign w:val="superscript"/>
        </w:rPr>
        <w:footnoteReference w:id="8"/>
      </w:r>
      <w:r w:rsidRPr="00BE536E">
        <w:rPr>
          <w:rFonts w:ascii="Verdana" w:eastAsia="Batang" w:hAnsi="Verdana"/>
        </w:rPr>
        <w:t>.</w:t>
      </w:r>
    </w:p>
    <w:p w14:paraId="671A5AD8" w14:textId="77777777" w:rsidR="008B55E7" w:rsidRPr="00BE536E" w:rsidRDefault="008B55E7" w:rsidP="008B55E7">
      <w:pPr>
        <w:spacing w:before="240" w:after="240" w:line="360" w:lineRule="auto"/>
        <w:jc w:val="both"/>
        <w:rPr>
          <w:rFonts w:ascii="Verdana" w:hAnsi="Verdana"/>
          <w:bCs/>
          <w:i/>
          <w:iCs/>
          <w:color w:val="943634"/>
        </w:rPr>
      </w:pPr>
      <w:r w:rsidRPr="00BE536E">
        <w:rPr>
          <w:rFonts w:ascii="Verdana" w:eastAsia="Batang" w:hAnsi="Verdana"/>
        </w:rPr>
        <w:t xml:space="preserve">Рыночной ставкой в отношении долгосрочной аренды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договора </w:t>
      </w:r>
      <w:r w:rsidRPr="00BE536E">
        <w:rPr>
          <w:rFonts w:ascii="Verdana" w:eastAsia="Batang" w:hAnsi="Verdana"/>
        </w:rPr>
        <w:lastRenderedPageBreak/>
        <w:t>аренды, на срок, сопоставимый со сроком, оставшимся на отчетную дату до окончания срока договора аренды.</w:t>
      </w:r>
    </w:p>
    <w:p w14:paraId="791BFE29"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 xml:space="preserve">.6. Порядок корректировки рыночной ставки </w:t>
      </w:r>
    </w:p>
    <w:p w14:paraId="41F2681A" w14:textId="77777777" w:rsidR="008B55E7" w:rsidRPr="00BE536E" w:rsidRDefault="008B55E7" w:rsidP="008B55E7">
      <w:pPr>
        <w:spacing w:before="120" w:after="120" w:line="360" w:lineRule="auto"/>
        <w:ind w:left="6"/>
        <w:jc w:val="both"/>
        <w:rPr>
          <w:rFonts w:ascii="Verdana" w:hAnsi="Verdana"/>
        </w:rPr>
      </w:pPr>
      <w:r w:rsidRPr="00BE536E">
        <w:rPr>
          <w:rFonts w:ascii="Verdana" w:hAnsi="Verdana"/>
        </w:rPr>
        <w:t>Если последняя раскрытая на сайте Банка России средневзвешенная ставка рассчитана ранее, чем за месяц до даты определения справедливой стоимости актива (обязательства), для определения необходимости корректировки рыночной ставки применяется следующий подход:</w:t>
      </w:r>
    </w:p>
    <w:p w14:paraId="0B907501" w14:textId="77777777" w:rsidR="008B55E7" w:rsidRPr="00BE536E" w:rsidRDefault="008B55E7" w:rsidP="00567222">
      <w:pPr>
        <w:numPr>
          <w:ilvl w:val="0"/>
          <w:numId w:val="13"/>
        </w:numPr>
        <w:spacing w:after="0" w:line="360" w:lineRule="auto"/>
        <w:ind w:left="851" w:hanging="284"/>
        <w:jc w:val="both"/>
        <w:rPr>
          <w:rFonts w:ascii="Verdana" w:hAnsi="Verdana"/>
        </w:rPr>
      </w:pPr>
      <w:r w:rsidRPr="00BE536E">
        <w:rPr>
          <w:rFonts w:ascii="Verdana" w:hAnsi="Verdana"/>
        </w:rPr>
        <w:t>ключевая ставка Банка России, действовавшая на последний рабочий день месяца, за который определена средневзвешенная ставка, сравнивается с ключевой ставкой Банка России, действующей на дату определения справедливой стоимости;</w:t>
      </w:r>
    </w:p>
    <w:p w14:paraId="3FE56CBF" w14:textId="77777777" w:rsidR="008B55E7" w:rsidRPr="00BE536E" w:rsidRDefault="008B55E7" w:rsidP="00567222">
      <w:pPr>
        <w:numPr>
          <w:ilvl w:val="0"/>
          <w:numId w:val="13"/>
        </w:numPr>
        <w:spacing w:after="0" w:line="360" w:lineRule="auto"/>
        <w:ind w:left="851" w:hanging="284"/>
        <w:jc w:val="both"/>
        <w:rPr>
          <w:rFonts w:ascii="Verdana" w:hAnsi="Verdana"/>
        </w:rPr>
      </w:pPr>
      <w:r w:rsidRPr="00BE536E">
        <w:rPr>
          <w:rFonts w:ascii="Verdana" w:hAnsi="Verdana"/>
        </w:rPr>
        <w:t xml:space="preserve">если ключевая ставка Банка России не изменилась до момента определения справедливой стоимости, в качестве рыночной ставки применяется последняя раскрытая средневзвешенная ставка; </w:t>
      </w:r>
    </w:p>
    <w:p w14:paraId="5F89BCDE" w14:textId="77777777" w:rsidR="004873E0" w:rsidRPr="00BE536E" w:rsidRDefault="008B55E7" w:rsidP="008B55E7">
      <w:pPr>
        <w:spacing w:after="0" w:line="360" w:lineRule="auto"/>
        <w:ind w:left="851"/>
        <w:jc w:val="both"/>
        <w:rPr>
          <w:rFonts w:ascii="Verdana" w:hAnsi="Verdana"/>
        </w:rPr>
      </w:pPr>
      <w:r w:rsidRPr="00BE536E">
        <w:rPr>
          <w:rFonts w:ascii="Verdana" w:hAnsi="Verdana"/>
        </w:rPr>
        <w:t xml:space="preserve">если ключевая ставка Банка России изменилась до момента определения справедливой стоимости, </w:t>
      </w:r>
      <w:r w:rsidRPr="00BE536E">
        <w:rPr>
          <w:rFonts w:ascii="Verdana" w:eastAsia="Batang" w:hAnsi="Verdana"/>
        </w:rPr>
        <w:t xml:space="preserve">в качестве рыночной ставки применяется </w:t>
      </w:r>
      <w:r w:rsidRPr="00BE536E">
        <w:rPr>
          <w:rFonts w:ascii="Verdana" w:hAnsi="Verdana"/>
        </w:rPr>
        <w:t>последняя раскрытая средневзвешенная ставка, которая корректируется пропорционально изменению Ключевой ставки Банка России, т.е. значение рыночной ставки изменяется в той же пропорции, в какой изменилась ключевая ставка.</w:t>
      </w:r>
      <w:r w:rsidRPr="00BE536E">
        <w:rPr>
          <w:rFonts w:ascii="Verdana" w:hAnsi="Verdana"/>
        </w:rPr>
        <w:tab/>
      </w:r>
    </w:p>
    <w:p w14:paraId="421F768D" w14:textId="77777777" w:rsidR="004873E0" w:rsidRPr="00BE536E" w:rsidRDefault="004873E0" w:rsidP="008B55E7">
      <w:pPr>
        <w:spacing w:after="0" w:line="360" w:lineRule="auto"/>
        <w:ind w:left="851"/>
        <w:jc w:val="both"/>
        <w:rPr>
          <w:rFonts w:ascii="Verdana" w:hAnsi="Verdana"/>
        </w:rPr>
      </w:pPr>
    </w:p>
    <w:p w14:paraId="4C13DA43" w14:textId="77777777" w:rsidR="004873E0" w:rsidRPr="00BE536E" w:rsidRDefault="004873E0" w:rsidP="008B55E7">
      <w:pPr>
        <w:spacing w:after="0" w:line="360" w:lineRule="auto"/>
        <w:ind w:left="851"/>
        <w:jc w:val="both"/>
        <w:rPr>
          <w:rFonts w:ascii="Verdana" w:hAnsi="Verdana"/>
        </w:rPr>
      </w:pPr>
    </w:p>
    <w:p w14:paraId="30A90A6B" w14:textId="77777777" w:rsidR="004873E0" w:rsidRPr="00BE536E" w:rsidRDefault="004873E0" w:rsidP="008B55E7">
      <w:pPr>
        <w:spacing w:after="0" w:line="360" w:lineRule="auto"/>
        <w:ind w:left="851"/>
        <w:jc w:val="both"/>
        <w:rPr>
          <w:rFonts w:ascii="Verdana" w:hAnsi="Verdana"/>
        </w:rPr>
      </w:pPr>
    </w:p>
    <w:p w14:paraId="600168AF" w14:textId="77777777" w:rsidR="004873E0" w:rsidRPr="00BE536E" w:rsidRDefault="004873E0" w:rsidP="008B55E7">
      <w:pPr>
        <w:spacing w:after="0" w:line="360" w:lineRule="auto"/>
        <w:ind w:left="851"/>
        <w:jc w:val="both"/>
        <w:rPr>
          <w:rFonts w:ascii="Verdana" w:hAnsi="Verdana"/>
        </w:rPr>
      </w:pPr>
    </w:p>
    <w:p w14:paraId="3119FC28" w14:textId="77777777" w:rsidR="004873E0" w:rsidRPr="00BE536E" w:rsidRDefault="004873E0" w:rsidP="008B55E7">
      <w:pPr>
        <w:spacing w:after="0" w:line="360" w:lineRule="auto"/>
        <w:ind w:left="851"/>
        <w:jc w:val="both"/>
        <w:rPr>
          <w:rFonts w:ascii="Verdana" w:hAnsi="Verdana"/>
        </w:rPr>
      </w:pPr>
    </w:p>
    <w:p w14:paraId="4CEB6AAA" w14:textId="77777777" w:rsidR="004873E0" w:rsidRPr="00BE536E" w:rsidRDefault="004873E0" w:rsidP="008B55E7">
      <w:pPr>
        <w:spacing w:after="0" w:line="360" w:lineRule="auto"/>
        <w:ind w:left="851"/>
        <w:jc w:val="both"/>
        <w:rPr>
          <w:rFonts w:ascii="Verdana" w:hAnsi="Verdana"/>
        </w:rPr>
      </w:pPr>
    </w:p>
    <w:p w14:paraId="7E67D751" w14:textId="77777777" w:rsidR="004873E0" w:rsidRPr="00BE536E" w:rsidRDefault="004873E0" w:rsidP="008B55E7">
      <w:pPr>
        <w:spacing w:after="0" w:line="360" w:lineRule="auto"/>
        <w:ind w:left="851"/>
        <w:jc w:val="both"/>
        <w:rPr>
          <w:rFonts w:ascii="Verdana" w:hAnsi="Verdana"/>
        </w:rPr>
      </w:pPr>
    </w:p>
    <w:p w14:paraId="70BC3D47" w14:textId="77777777" w:rsidR="004873E0" w:rsidRPr="00BE536E" w:rsidRDefault="004873E0" w:rsidP="008B55E7">
      <w:pPr>
        <w:spacing w:after="0" w:line="360" w:lineRule="auto"/>
        <w:ind w:left="851"/>
        <w:jc w:val="both"/>
        <w:rPr>
          <w:rFonts w:ascii="Verdana" w:hAnsi="Verdana"/>
        </w:rPr>
      </w:pPr>
    </w:p>
    <w:p w14:paraId="0087BA91" w14:textId="77777777" w:rsidR="004873E0" w:rsidRPr="00BE536E" w:rsidRDefault="004873E0" w:rsidP="008B55E7">
      <w:pPr>
        <w:spacing w:after="0" w:line="360" w:lineRule="auto"/>
        <w:ind w:left="851"/>
        <w:jc w:val="both"/>
        <w:rPr>
          <w:rFonts w:ascii="Verdana" w:hAnsi="Verdana"/>
        </w:rPr>
      </w:pPr>
    </w:p>
    <w:p w14:paraId="720D0432" w14:textId="77777777" w:rsidR="004873E0" w:rsidRPr="00BE536E" w:rsidRDefault="004873E0" w:rsidP="008B55E7">
      <w:pPr>
        <w:spacing w:after="0" w:line="360" w:lineRule="auto"/>
        <w:ind w:left="851"/>
        <w:jc w:val="both"/>
        <w:rPr>
          <w:rFonts w:ascii="Verdana" w:hAnsi="Verdana"/>
        </w:rPr>
      </w:pPr>
    </w:p>
    <w:p w14:paraId="7866E2DB" w14:textId="77777777" w:rsidR="004873E0" w:rsidRPr="00BE536E" w:rsidRDefault="004873E0" w:rsidP="008B55E7">
      <w:pPr>
        <w:spacing w:after="0" w:line="360" w:lineRule="auto"/>
        <w:ind w:left="851"/>
        <w:jc w:val="both"/>
        <w:rPr>
          <w:rFonts w:ascii="Verdana" w:hAnsi="Verdana"/>
        </w:rPr>
      </w:pPr>
    </w:p>
    <w:p w14:paraId="74AD207E" w14:textId="77777777" w:rsidR="006A2D0C" w:rsidRPr="00BE536E" w:rsidRDefault="001A1F5D" w:rsidP="00733644">
      <w:pPr>
        <w:pStyle w:val="10"/>
        <w:numPr>
          <w:ilvl w:val="0"/>
          <w:numId w:val="0"/>
        </w:numPr>
        <w:ind w:left="432"/>
        <w:jc w:val="left"/>
        <w:rPr>
          <w:rFonts w:ascii="Verdana" w:hAnsi="Verdana" w:cs="Arial"/>
          <w:b w:val="0"/>
          <w:bCs w:val="0"/>
          <w:iCs w:val="0"/>
          <w:caps/>
          <w:smallCaps w:val="0"/>
          <w:color w:val="943634"/>
          <w:sz w:val="24"/>
        </w:rPr>
      </w:pPr>
      <w:bookmarkStart w:id="16" w:name="_Toc27400763"/>
      <w:r w:rsidRPr="00BE536E">
        <w:rPr>
          <w:rFonts w:ascii="Verdana" w:hAnsi="Verdana" w:cs="Arial"/>
          <w:b w:val="0"/>
          <w:bCs w:val="0"/>
          <w:iCs w:val="0"/>
          <w:caps/>
          <w:smallCaps w:val="0"/>
          <w:color w:val="943634"/>
          <w:sz w:val="24"/>
        </w:rPr>
        <w:lastRenderedPageBreak/>
        <w:t xml:space="preserve">Приложение </w:t>
      </w:r>
      <w:r w:rsidR="004B2D79" w:rsidRPr="00BE536E">
        <w:rPr>
          <w:rFonts w:ascii="Verdana" w:hAnsi="Verdana" w:cs="Arial"/>
          <w:b w:val="0"/>
          <w:bCs w:val="0"/>
          <w:iCs w:val="0"/>
          <w:caps/>
          <w:smallCaps w:val="0"/>
          <w:color w:val="943634"/>
          <w:sz w:val="24"/>
        </w:rPr>
        <w:t>5</w:t>
      </w:r>
      <w:r w:rsidR="00733644" w:rsidRPr="00BE536E">
        <w:rPr>
          <w:rFonts w:ascii="Verdana" w:hAnsi="Verdana" w:cs="Arial"/>
          <w:b w:val="0"/>
          <w:bCs w:val="0"/>
          <w:iCs w:val="0"/>
          <w:caps/>
          <w:smallCaps w:val="0"/>
          <w:color w:val="943634"/>
          <w:sz w:val="24"/>
        </w:rPr>
        <w:t xml:space="preserve">. </w:t>
      </w:r>
      <w:r w:rsidR="002A3D95" w:rsidRPr="00BE536E">
        <w:rPr>
          <w:rFonts w:ascii="Verdana" w:hAnsi="Verdana" w:cs="Arial"/>
          <w:bCs w:val="0"/>
          <w:iCs w:val="0"/>
          <w:caps/>
          <w:smallCaps w:val="0"/>
          <w:color w:val="943634"/>
          <w:sz w:val="24"/>
        </w:rPr>
        <w:t>МетодИКА ОПРЕДЕЛЕНИЯ справедливой стоимости активов с учетом кредитных рисков</w:t>
      </w:r>
      <w:r w:rsidR="002A3D95" w:rsidRPr="00BE536E" w:rsidDel="002A3D95">
        <w:rPr>
          <w:rFonts w:ascii="Verdana" w:hAnsi="Verdana" w:cs="Arial"/>
          <w:bCs w:val="0"/>
          <w:iCs w:val="0"/>
          <w:caps/>
          <w:smallCaps w:val="0"/>
          <w:color w:val="943634"/>
          <w:sz w:val="24"/>
        </w:rPr>
        <w:t xml:space="preserve"> </w:t>
      </w:r>
      <w:bookmarkEnd w:id="16"/>
    </w:p>
    <w:p w14:paraId="30C4832D" w14:textId="77777777" w:rsidR="002A3D95" w:rsidRPr="00BE536E" w:rsidRDefault="002A3D95" w:rsidP="002A3D95">
      <w:pPr>
        <w:pStyle w:val="a0"/>
        <w:numPr>
          <w:ilvl w:val="0"/>
          <w:numId w:val="0"/>
        </w:numPr>
        <w:spacing w:before="0" w:after="0" w:line="360" w:lineRule="auto"/>
        <w:ind w:firstLine="357"/>
        <w:rPr>
          <w:rFonts w:ascii="Verdana" w:hAnsi="Verdana"/>
          <w:sz w:val="20"/>
          <w:szCs w:val="20"/>
        </w:rPr>
      </w:pPr>
      <w:r w:rsidRPr="00BE536E">
        <w:rPr>
          <w:rFonts w:ascii="Verdana" w:hAnsi="Verdana"/>
          <w:sz w:val="20"/>
          <w:szCs w:val="20"/>
        </w:rPr>
        <w:t>Общие положения</w:t>
      </w:r>
    </w:p>
    <w:p w14:paraId="7DE9237F"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t>Оценка кредитного риска используется для расчета справедливой стоимости активов. При этом в зависимости от степени влияния кредитного риска на справедливую стоимость активы классифицируются на следующие стадии:</w:t>
      </w:r>
    </w:p>
    <w:p w14:paraId="7403AA48" w14:textId="77777777" w:rsidR="002A3D95" w:rsidRPr="00BE536E" w:rsidRDefault="002A3D95" w:rsidP="002A3D95">
      <w:pPr>
        <w:tabs>
          <w:tab w:val="left" w:pos="993"/>
        </w:tabs>
        <w:spacing w:after="0" w:line="360" w:lineRule="auto"/>
        <w:ind w:firstLine="709"/>
        <w:jc w:val="both"/>
        <w:rPr>
          <w:rFonts w:ascii="Verdana" w:hAnsi="Verdana"/>
          <w:sz w:val="20"/>
          <w:szCs w:val="20"/>
        </w:rPr>
      </w:pPr>
      <w:r w:rsidRPr="00BE536E">
        <w:rPr>
          <w:rFonts w:ascii="Verdana" w:hAnsi="Verdana"/>
          <w:sz w:val="20"/>
          <w:szCs w:val="20"/>
        </w:rPr>
        <w:t>•</w:t>
      </w:r>
      <w:r w:rsidRPr="00BE536E">
        <w:rPr>
          <w:rFonts w:ascii="Verdana" w:hAnsi="Verdana"/>
          <w:sz w:val="20"/>
          <w:szCs w:val="20"/>
        </w:rPr>
        <w:tab/>
        <w:t>стандартные (без признаков обесценения);</w:t>
      </w:r>
    </w:p>
    <w:p w14:paraId="4BA882C4" w14:textId="77777777" w:rsidR="002A3D95" w:rsidRPr="00BE536E" w:rsidRDefault="002A3D95" w:rsidP="002A3D95">
      <w:pPr>
        <w:tabs>
          <w:tab w:val="left" w:pos="993"/>
        </w:tabs>
        <w:spacing w:after="0" w:line="360" w:lineRule="auto"/>
        <w:ind w:firstLine="709"/>
        <w:jc w:val="both"/>
        <w:rPr>
          <w:rFonts w:ascii="Verdana" w:hAnsi="Verdana"/>
          <w:sz w:val="20"/>
          <w:szCs w:val="20"/>
        </w:rPr>
      </w:pPr>
      <w:r w:rsidRPr="00BE536E">
        <w:rPr>
          <w:rFonts w:ascii="Verdana" w:hAnsi="Verdana"/>
          <w:sz w:val="20"/>
          <w:szCs w:val="20"/>
        </w:rPr>
        <w:t>•</w:t>
      </w:r>
      <w:r w:rsidRPr="00BE536E">
        <w:rPr>
          <w:rFonts w:ascii="Verdana" w:hAnsi="Verdana"/>
          <w:sz w:val="20"/>
          <w:szCs w:val="20"/>
        </w:rPr>
        <w:tab/>
        <w:t>обесцененные (без наступления дефолта);</w:t>
      </w:r>
    </w:p>
    <w:p w14:paraId="1AAD87BA" w14:textId="77777777" w:rsidR="002A3D95" w:rsidRPr="00BE536E" w:rsidRDefault="002A3D95" w:rsidP="002A3D95">
      <w:pPr>
        <w:tabs>
          <w:tab w:val="left" w:pos="993"/>
        </w:tabs>
        <w:spacing w:after="0" w:line="360" w:lineRule="auto"/>
        <w:ind w:firstLine="709"/>
        <w:jc w:val="both"/>
        <w:rPr>
          <w:rFonts w:ascii="Verdana" w:hAnsi="Verdana"/>
          <w:sz w:val="20"/>
          <w:szCs w:val="20"/>
        </w:rPr>
      </w:pPr>
      <w:r w:rsidRPr="00BE536E">
        <w:rPr>
          <w:rFonts w:ascii="Verdana" w:hAnsi="Verdana"/>
          <w:sz w:val="20"/>
          <w:szCs w:val="20"/>
        </w:rPr>
        <w:t>•</w:t>
      </w:r>
      <w:r w:rsidRPr="00BE536E">
        <w:rPr>
          <w:rFonts w:ascii="Verdana" w:hAnsi="Verdana"/>
          <w:sz w:val="20"/>
          <w:szCs w:val="20"/>
        </w:rPr>
        <w:tab/>
        <w:t>активы, находящиеся в дефолте.</w:t>
      </w:r>
    </w:p>
    <w:p w14:paraId="0E3C9AFA" w14:textId="77777777" w:rsidR="002A3D95" w:rsidRPr="00BE536E" w:rsidRDefault="002A3D95" w:rsidP="002A3D95">
      <w:pPr>
        <w:spacing w:after="0" w:line="360" w:lineRule="auto"/>
        <w:ind w:firstLine="709"/>
        <w:jc w:val="both"/>
        <w:rPr>
          <w:rFonts w:ascii="Verdana" w:hAnsi="Verdana"/>
          <w:sz w:val="20"/>
          <w:szCs w:val="20"/>
        </w:rPr>
      </w:pPr>
    </w:p>
    <w:p w14:paraId="46122955" w14:textId="77777777" w:rsidR="002A3D95" w:rsidRPr="00BE536E" w:rsidRDefault="002A3D95" w:rsidP="002A3D95">
      <w:pPr>
        <w:spacing w:after="0" w:line="360" w:lineRule="auto"/>
        <w:ind w:firstLine="709"/>
        <w:jc w:val="both"/>
        <w:rPr>
          <w:rFonts w:ascii="Verdana" w:hAnsi="Verdana"/>
          <w:b/>
          <w:sz w:val="20"/>
          <w:szCs w:val="20"/>
        </w:rPr>
      </w:pPr>
      <w:r w:rsidRPr="00BE536E">
        <w:rPr>
          <w:rFonts w:ascii="Verdana" w:hAnsi="Verdana"/>
          <w:b/>
          <w:sz w:val="20"/>
          <w:szCs w:val="20"/>
        </w:rPr>
        <w:t>Перечень активов, используемый для указанных стадий задолженности, справедливая стоимость которых корректируется на размер кредитного риска:</w:t>
      </w:r>
    </w:p>
    <w:p w14:paraId="41C88AC7" w14:textId="77777777" w:rsidR="002A3D95" w:rsidRPr="00BE536E" w:rsidRDefault="002A3D95" w:rsidP="002A3D95">
      <w:pPr>
        <w:spacing w:after="0" w:line="360" w:lineRule="auto"/>
        <w:ind w:firstLine="709"/>
        <w:jc w:val="both"/>
        <w:rPr>
          <w:rFonts w:ascii="Verdana" w:hAnsi="Verdana"/>
          <w:b/>
          <w:sz w:val="20"/>
          <w:szCs w:val="20"/>
        </w:rPr>
      </w:pPr>
    </w:p>
    <w:p w14:paraId="4580D985"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Стандартные активы (без признаков обесценения),</w:t>
      </w:r>
      <w:r w:rsidRPr="00BE536E">
        <w:rPr>
          <w:rFonts w:ascii="Verdana" w:hAnsi="Verdana"/>
          <w:sz w:val="20"/>
          <w:szCs w:val="20"/>
        </w:rPr>
        <w:t xml:space="preserve"> а именно:</w:t>
      </w:r>
    </w:p>
    <w:p w14:paraId="7B25AC5D" w14:textId="77777777" w:rsidR="002A3D95" w:rsidRPr="00BE536E"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Права требования из договора займа и кредитного договора (в случае если займодавцем по договору выступает  Фонд);</w:t>
      </w:r>
    </w:p>
    <w:p w14:paraId="6F525EF3" w14:textId="1E782160" w:rsidR="002A3D95" w:rsidRPr="00BE536E"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 xml:space="preserve">Дебиторская задолженность </w:t>
      </w:r>
      <w:r w:rsidR="00426C31" w:rsidRPr="00BE536E">
        <w:rPr>
          <w:sz w:val="24"/>
          <w:szCs w:val="24"/>
        </w:rPr>
        <w:t>(</w:t>
      </w:r>
      <w:r w:rsidR="000A548A" w:rsidRPr="00BE536E">
        <w:rPr>
          <w:sz w:val="24"/>
          <w:szCs w:val="24"/>
        </w:rPr>
        <w:t xml:space="preserve"> </w:t>
      </w:r>
      <w:r w:rsidRPr="00BE536E">
        <w:rPr>
          <w:rFonts w:ascii="Verdana" w:hAnsi="Verdana"/>
          <w:sz w:val="20"/>
          <w:szCs w:val="20"/>
        </w:rPr>
        <w:t>в случае определения справедливой стоимости такой задолженности с использованием метода приведенной стоимости будущих денежных потоков).</w:t>
      </w:r>
    </w:p>
    <w:p w14:paraId="46117129" w14:textId="77777777" w:rsidR="002A3D95" w:rsidRPr="00BE536E" w:rsidRDefault="002A3D95" w:rsidP="002A3D95">
      <w:pPr>
        <w:spacing w:line="360" w:lineRule="auto"/>
        <w:ind w:left="709"/>
        <w:rPr>
          <w:rFonts w:ascii="Verdana" w:hAnsi="Verdana"/>
          <w:sz w:val="20"/>
          <w:szCs w:val="20"/>
        </w:rPr>
      </w:pPr>
    </w:p>
    <w:p w14:paraId="262F067E"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Обесцененные (без наступления дефолта),</w:t>
      </w:r>
      <w:r w:rsidRPr="00BE536E">
        <w:rPr>
          <w:rFonts w:ascii="Verdana" w:hAnsi="Verdana"/>
          <w:sz w:val="20"/>
          <w:szCs w:val="20"/>
        </w:rPr>
        <w:t xml:space="preserve"> а именно:</w:t>
      </w:r>
    </w:p>
    <w:p w14:paraId="7518C605" w14:textId="77777777" w:rsidR="002A3D95" w:rsidRPr="00BE536E"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Денежные средства на счетах и во вкладах;</w:t>
      </w:r>
    </w:p>
    <w:p w14:paraId="52719B23" w14:textId="77777777" w:rsidR="002A3D95" w:rsidRPr="00BE536E"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Долговые инструменты (в случае отсутствия цен основного рынка, позволяющих определить справедливую стоимость на дату определения СЧА);</w:t>
      </w:r>
    </w:p>
    <w:p w14:paraId="6B596827" w14:textId="77777777" w:rsidR="002A3D95" w:rsidRPr="00BE536E"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Права требования из кредитных договоров и договоров займа (в случае, если займодавцем по договору выступает Фонд);</w:t>
      </w:r>
    </w:p>
    <w:p w14:paraId="5FFD8339" w14:textId="77777777" w:rsidR="002A3D95" w:rsidRPr="00BE536E"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Дебиторская задолженность</w:t>
      </w:r>
      <w:r w:rsidRPr="00BE536E">
        <w:rPr>
          <w:rFonts w:ascii="Verdana" w:hAnsi="Verdana"/>
          <w:sz w:val="20"/>
          <w:szCs w:val="20"/>
          <w:lang w:val="en-US"/>
        </w:rPr>
        <w:t>;</w:t>
      </w:r>
    </w:p>
    <w:p w14:paraId="1BA000A5" w14:textId="77777777" w:rsidR="002A3D95" w:rsidRPr="00BE536E"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Активы, стоимость которых определяется на основании отчета оценщика  (с учетом  положений, установленных в Разделе 7 настоящего приложения).</w:t>
      </w:r>
    </w:p>
    <w:p w14:paraId="644572BC" w14:textId="77777777" w:rsidR="002A3D95" w:rsidRPr="00BE536E" w:rsidRDefault="002A3D95" w:rsidP="002A3D95">
      <w:pPr>
        <w:spacing w:line="360" w:lineRule="auto"/>
        <w:ind w:left="709"/>
        <w:rPr>
          <w:rFonts w:ascii="Verdana" w:hAnsi="Verdana"/>
          <w:sz w:val="20"/>
          <w:szCs w:val="20"/>
        </w:rPr>
      </w:pPr>
    </w:p>
    <w:p w14:paraId="574F8A5C"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Активы, находящиеся в дефолте</w:t>
      </w:r>
      <w:r w:rsidRPr="00BE536E">
        <w:rPr>
          <w:rFonts w:ascii="Verdana" w:hAnsi="Verdana"/>
          <w:sz w:val="20"/>
          <w:szCs w:val="20"/>
        </w:rPr>
        <w:t>, а именно:</w:t>
      </w:r>
    </w:p>
    <w:p w14:paraId="217BD320" w14:textId="77777777" w:rsidR="002A3D95" w:rsidRPr="00BE536E"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Все виды активов, находящиеся в дефолте.</w:t>
      </w:r>
    </w:p>
    <w:p w14:paraId="265F3517" w14:textId="77777777" w:rsidR="002A3D95" w:rsidRPr="00BE536E" w:rsidRDefault="002A3D95" w:rsidP="002A3D95">
      <w:pPr>
        <w:spacing w:after="0" w:line="360" w:lineRule="auto"/>
        <w:ind w:firstLine="709"/>
        <w:jc w:val="both"/>
        <w:rPr>
          <w:rFonts w:ascii="Verdana" w:hAnsi="Verdana"/>
          <w:sz w:val="20"/>
          <w:szCs w:val="20"/>
        </w:rPr>
      </w:pPr>
      <w:r w:rsidRPr="00BE536E" w:rsidDel="00B00538">
        <w:rPr>
          <w:rFonts w:ascii="Verdana" w:hAnsi="Verdana"/>
          <w:sz w:val="20"/>
          <w:szCs w:val="20"/>
        </w:rPr>
        <w:t xml:space="preserve"> </w:t>
      </w:r>
    </w:p>
    <w:p w14:paraId="2D846B41"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lastRenderedPageBreak/>
        <w:t>Для целей настоящей методики, контрагенты – индивидуальные предприниматели приравниваются к контрагентам – физическим  лицам.</w:t>
      </w:r>
    </w:p>
    <w:p w14:paraId="4C13636C" w14:textId="77777777" w:rsidR="002A3D95" w:rsidRPr="00BE536E" w:rsidRDefault="002A3D95" w:rsidP="002A3D95">
      <w:pPr>
        <w:spacing w:after="0" w:line="360" w:lineRule="auto"/>
        <w:jc w:val="both"/>
        <w:rPr>
          <w:rFonts w:ascii="Verdana" w:hAnsi="Verdana"/>
          <w:b/>
          <w:sz w:val="20"/>
          <w:szCs w:val="20"/>
        </w:rPr>
      </w:pPr>
    </w:p>
    <w:p w14:paraId="1ED9F2AA" w14:textId="77777777" w:rsidR="002A3D95" w:rsidRPr="00BE536E" w:rsidRDefault="002A3D95" w:rsidP="002A3D95">
      <w:pPr>
        <w:spacing w:after="0" w:line="360" w:lineRule="auto"/>
        <w:jc w:val="both"/>
        <w:rPr>
          <w:rFonts w:ascii="Verdana" w:hAnsi="Verdana"/>
          <w:b/>
          <w:color w:val="C00000"/>
          <w:sz w:val="20"/>
          <w:szCs w:val="20"/>
        </w:rPr>
      </w:pPr>
      <w:r w:rsidRPr="00BE536E">
        <w:rPr>
          <w:rFonts w:ascii="Verdana" w:hAnsi="Verdana"/>
          <w:b/>
          <w:color w:val="C00000"/>
          <w:sz w:val="20"/>
          <w:szCs w:val="20"/>
        </w:rPr>
        <w:t>Термины и определения, используемые в настоящем Приложении</w:t>
      </w:r>
    </w:p>
    <w:p w14:paraId="2A3F21BA" w14:textId="77777777" w:rsidR="002A3D95" w:rsidRPr="00BE536E" w:rsidRDefault="002A3D95" w:rsidP="002A3D95">
      <w:pPr>
        <w:spacing w:after="0" w:line="360" w:lineRule="auto"/>
        <w:jc w:val="both"/>
        <w:rPr>
          <w:rFonts w:ascii="Verdana" w:hAnsi="Verdana"/>
          <w:b/>
          <w:color w:val="C00000"/>
          <w:sz w:val="20"/>
          <w:szCs w:val="20"/>
        </w:rPr>
      </w:pPr>
    </w:p>
    <w:p w14:paraId="52FD985D"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Кредитный риск</w:t>
      </w:r>
      <w:r w:rsidRPr="00BE536E">
        <w:rPr>
          <w:rFonts w:ascii="Verdana" w:hAnsi="Verdana"/>
          <w:sz w:val="20"/>
          <w:szCs w:val="20"/>
        </w:rPr>
        <w:t xml:space="preserve"> – риск возникновения потерь в результате неисполнения обязательств контрагентом (эмитентом) обязательств, а также в результате изменения оценки кредитоспособности (кредитного риска) контрагента (эмитента).</w:t>
      </w:r>
    </w:p>
    <w:p w14:paraId="65CAFFAD" w14:textId="77777777" w:rsidR="002A3D95" w:rsidRPr="00BE536E" w:rsidRDefault="002A3D95" w:rsidP="002A3D95">
      <w:pPr>
        <w:spacing w:after="0" w:line="360" w:lineRule="auto"/>
        <w:ind w:firstLine="709"/>
        <w:jc w:val="both"/>
        <w:rPr>
          <w:rFonts w:ascii="Verdana" w:hAnsi="Verdana"/>
          <w:sz w:val="20"/>
          <w:szCs w:val="20"/>
        </w:rPr>
      </w:pPr>
    </w:p>
    <w:p w14:paraId="37BF6C29" w14:textId="77777777" w:rsidR="00AC3AD8" w:rsidRPr="00BE536E" w:rsidRDefault="00AC3AD8" w:rsidP="00D05311">
      <w:pPr>
        <w:numPr>
          <w:ilvl w:val="0"/>
          <w:numId w:val="88"/>
        </w:numPr>
        <w:tabs>
          <w:tab w:val="left" w:pos="993"/>
        </w:tabs>
        <w:spacing w:after="0" w:line="360" w:lineRule="auto"/>
        <w:ind w:left="0" w:firstLine="709"/>
        <w:jc w:val="both"/>
        <w:rPr>
          <w:rFonts w:ascii="Verdana" w:hAnsi="Verdana"/>
          <w:sz w:val="20"/>
          <w:szCs w:val="20"/>
          <w:u w:val="single"/>
        </w:rPr>
      </w:pPr>
      <w:r w:rsidRPr="00BE536E">
        <w:rPr>
          <w:rFonts w:ascii="Verdana" w:hAnsi="Verdana"/>
          <w:sz w:val="20"/>
          <w:szCs w:val="20"/>
          <w:u w:val="single"/>
        </w:rPr>
        <w:t xml:space="preserve">В российских рублях: </w:t>
      </w:r>
    </w:p>
    <w:p w14:paraId="0B1549A8" w14:textId="3C47720D" w:rsidR="007A390F" w:rsidRPr="007A390F" w:rsidRDefault="007A390F" w:rsidP="007A390F">
      <w:pPr>
        <w:spacing w:line="360" w:lineRule="auto"/>
        <w:ind w:firstLine="709"/>
        <w:jc w:val="both"/>
        <w:rPr>
          <w:rFonts w:ascii="Verdana" w:hAnsi="Verdana"/>
          <w:sz w:val="20"/>
          <w:szCs w:val="20"/>
        </w:rPr>
      </w:pPr>
      <w:r w:rsidRPr="007A390F">
        <w:rPr>
          <w:rFonts w:ascii="Verdana" w:hAnsi="Verdana"/>
          <w:sz w:val="20"/>
          <w:szCs w:val="20"/>
        </w:rPr>
        <w:t>Для задолженности со сроком до погашения, не превышающим 1 календарный день –ставка RUONIA</w:t>
      </w:r>
      <w:r>
        <w:rPr>
          <w:rStyle w:val="af4"/>
          <w:rFonts w:ascii="Verdana" w:hAnsi="Verdana"/>
          <w:sz w:val="20"/>
          <w:szCs w:val="20"/>
        </w:rPr>
        <w:footnoteReference w:id="9"/>
      </w:r>
      <w:r w:rsidRPr="007A390F">
        <w:rPr>
          <w:rFonts w:ascii="Verdana" w:hAnsi="Verdana"/>
          <w:sz w:val="20"/>
          <w:szCs w:val="20"/>
        </w:rPr>
        <w:t xml:space="preserve"> ;</w:t>
      </w:r>
    </w:p>
    <w:p w14:paraId="4AB7589E" w14:textId="77777777" w:rsidR="007A390F" w:rsidRPr="007A390F" w:rsidRDefault="007A390F" w:rsidP="007A390F">
      <w:pPr>
        <w:spacing w:line="360" w:lineRule="auto"/>
        <w:ind w:firstLine="709"/>
        <w:jc w:val="both"/>
        <w:rPr>
          <w:rFonts w:ascii="Verdana" w:hAnsi="Verdana"/>
          <w:sz w:val="20"/>
          <w:szCs w:val="20"/>
        </w:rPr>
      </w:pPr>
      <w:r w:rsidRPr="007A390F">
        <w:rPr>
          <w:rFonts w:ascii="Verdana" w:hAnsi="Verdana"/>
          <w:sz w:val="20"/>
          <w:szCs w:val="20"/>
        </w:rPr>
        <w:t>Ставка, определяемая из G-кривой (кривой бескупонной доходности Московской биржи</w:t>
      </w:r>
      <w:r w:rsidRPr="007A390F">
        <w:rPr>
          <w:rFonts w:ascii="Verdana" w:hAnsi="Verdana"/>
          <w:sz w:val="20"/>
          <w:szCs w:val="20"/>
        </w:rPr>
        <w:footnoteReference w:id="10"/>
      </w:r>
      <w:r w:rsidRPr="007A390F">
        <w:rPr>
          <w:rFonts w:ascii="Verdana" w:hAnsi="Verdana"/>
          <w:sz w:val="20"/>
          <w:szCs w:val="20"/>
        </w:rPr>
        <w:t>), построенной по российским государственным облигациям - для задолженности со сроком до погашения, превышающим 1 календарный день.</w:t>
      </w:r>
    </w:p>
    <w:p w14:paraId="76CF9424" w14:textId="77777777" w:rsidR="007A390F" w:rsidRPr="007A390F" w:rsidRDefault="007A390F" w:rsidP="007A390F">
      <w:pPr>
        <w:spacing w:line="360" w:lineRule="auto"/>
        <w:ind w:firstLine="709"/>
        <w:rPr>
          <w:rFonts w:ascii="Verdana" w:hAnsi="Verdana"/>
          <w:sz w:val="20"/>
          <w:szCs w:val="20"/>
        </w:rPr>
      </w:pPr>
      <w:r w:rsidRPr="007A390F">
        <w:rPr>
          <w:rFonts w:ascii="Verdana" w:hAnsi="Verdana"/>
          <w:sz w:val="20"/>
          <w:szCs w:val="20"/>
        </w:rPr>
        <w:t>Для целей расчета безрисковой ставки, используются следующие округления:</w:t>
      </w:r>
    </w:p>
    <w:p w14:paraId="147314C1" w14:textId="77777777" w:rsidR="007A390F" w:rsidRPr="007A390F" w:rsidRDefault="007A390F" w:rsidP="007A390F">
      <w:pPr>
        <w:spacing w:after="0" w:line="240" w:lineRule="auto"/>
        <w:ind w:firstLine="709"/>
        <w:rPr>
          <w:rFonts w:ascii="Verdana" w:hAnsi="Verdana"/>
          <w:sz w:val="20"/>
          <w:szCs w:val="20"/>
        </w:rPr>
      </w:pPr>
      <w:r w:rsidRPr="007A390F">
        <w:rPr>
          <w:rFonts w:ascii="Verdana" w:hAnsi="Verdana"/>
          <w:sz w:val="20"/>
          <w:szCs w:val="20"/>
        </w:rPr>
        <w:t>Значение срока ставки определяется до 4 знаков после запятой;</w:t>
      </w:r>
    </w:p>
    <w:p w14:paraId="65FF8CB9" w14:textId="1DEFE457" w:rsidR="00AC3AD8" w:rsidRPr="00BE536E" w:rsidRDefault="007A390F" w:rsidP="007A390F">
      <w:pPr>
        <w:spacing w:line="360" w:lineRule="auto"/>
        <w:ind w:firstLine="709"/>
        <w:rPr>
          <w:rFonts w:ascii="Verdana" w:hAnsi="Verdana"/>
          <w:sz w:val="20"/>
          <w:szCs w:val="20"/>
        </w:rPr>
      </w:pPr>
      <w:r w:rsidRPr="007A390F">
        <w:rPr>
          <w:rFonts w:ascii="Verdana" w:hAnsi="Verdana"/>
          <w:sz w:val="20"/>
          <w:szCs w:val="20"/>
        </w:rPr>
        <w:t>Итоговое значение ставки определяется до 2 знаков после запятой</w:t>
      </w:r>
      <w:r w:rsidR="00AC3AD8" w:rsidRPr="00BE536E">
        <w:rPr>
          <w:rFonts w:ascii="Verdana" w:hAnsi="Verdana"/>
          <w:sz w:val="20"/>
          <w:szCs w:val="20"/>
        </w:rPr>
        <w:t>.</w:t>
      </w:r>
    </w:p>
    <w:p w14:paraId="3692C382" w14:textId="77777777" w:rsidR="00AC3AD8" w:rsidRPr="00BE536E" w:rsidRDefault="00AC3AD8" w:rsidP="00D05311">
      <w:pPr>
        <w:numPr>
          <w:ilvl w:val="0"/>
          <w:numId w:val="88"/>
        </w:numPr>
        <w:tabs>
          <w:tab w:val="left" w:pos="993"/>
        </w:tabs>
        <w:spacing w:after="0" w:line="360" w:lineRule="auto"/>
        <w:ind w:left="0" w:firstLine="709"/>
        <w:jc w:val="both"/>
        <w:rPr>
          <w:rFonts w:ascii="Verdana" w:hAnsi="Verdana"/>
          <w:sz w:val="20"/>
          <w:szCs w:val="20"/>
          <w:u w:val="single"/>
        </w:rPr>
      </w:pPr>
      <w:r w:rsidRPr="00BE536E">
        <w:rPr>
          <w:rFonts w:ascii="Verdana" w:hAnsi="Verdana"/>
          <w:sz w:val="20"/>
          <w:szCs w:val="20"/>
          <w:u w:val="single"/>
        </w:rPr>
        <w:t xml:space="preserve">В американских долларах:  </w:t>
      </w:r>
    </w:p>
    <w:p w14:paraId="376332CF" w14:textId="77777777" w:rsidR="00AC3AD8" w:rsidRPr="00BE536E" w:rsidRDefault="00AC3AD8" w:rsidP="00AC3AD8">
      <w:pPr>
        <w:spacing w:line="360" w:lineRule="auto"/>
        <w:ind w:firstLine="709"/>
        <w:jc w:val="both"/>
        <w:rPr>
          <w:rFonts w:ascii="Verdana" w:hAnsi="Verdana"/>
          <w:sz w:val="20"/>
          <w:szCs w:val="20"/>
        </w:rPr>
      </w:pPr>
      <w:r w:rsidRPr="00BE536E">
        <w:rPr>
          <w:rFonts w:ascii="Verdana" w:hAnsi="Verdana"/>
          <w:sz w:val="20"/>
          <w:szCs w:val="20"/>
        </w:rPr>
        <w:t>Для задолженности со сроком до погашения, не превышающим 1 календарный день – ставка SOFR</w:t>
      </w:r>
      <w:r w:rsidRPr="00BE536E">
        <w:rPr>
          <w:rFonts w:ascii="Verdana" w:hAnsi="Verdana"/>
          <w:sz w:val="20"/>
          <w:szCs w:val="20"/>
        </w:rPr>
        <w:footnoteReference w:id="11"/>
      </w:r>
      <w:r w:rsidRPr="00BE536E">
        <w:rPr>
          <w:rFonts w:ascii="Verdana" w:hAnsi="Verdana"/>
          <w:sz w:val="20"/>
          <w:szCs w:val="20"/>
        </w:rPr>
        <w:t>;</w:t>
      </w:r>
    </w:p>
    <w:p w14:paraId="73A10E35" w14:textId="77777777" w:rsidR="002A3D95" w:rsidRPr="00BE536E" w:rsidRDefault="00AC3AD8" w:rsidP="002A3D95">
      <w:pPr>
        <w:spacing w:line="360" w:lineRule="auto"/>
        <w:ind w:firstLine="709"/>
        <w:jc w:val="both"/>
        <w:rPr>
          <w:rFonts w:ascii="Verdana" w:hAnsi="Verdana"/>
          <w:sz w:val="20"/>
          <w:szCs w:val="20"/>
        </w:rPr>
      </w:pPr>
      <w:r w:rsidRPr="00BE536E">
        <w:rPr>
          <w:rFonts w:ascii="Verdana" w:hAnsi="Verdana"/>
          <w:sz w:val="20"/>
          <w:szCs w:val="20"/>
        </w:rPr>
        <w:t xml:space="preserve"> </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t xml:space="preserve">        Для задолженности со сроком до погашения свыше 1 календарного дня, но не превышающим 30 календарных дней – интерполяция ставки между значением ставки SOFR и ставкой по американским государственным ценным бумагам</w:t>
      </w:r>
      <w:r w:rsidRPr="00BE536E">
        <w:rPr>
          <w:rFonts w:ascii="Verdana" w:hAnsi="Verdana"/>
          <w:sz w:val="20"/>
          <w:szCs w:val="20"/>
        </w:rPr>
        <w:footnoteReference w:id="12"/>
      </w:r>
      <w:r w:rsidRPr="00BE536E">
        <w:rPr>
          <w:rFonts w:ascii="Verdana" w:hAnsi="Verdana"/>
          <w:sz w:val="20"/>
          <w:szCs w:val="20"/>
        </w:rPr>
        <w:t xml:space="preserve"> на срок 1 месяц</w:t>
      </w:r>
      <w:r w:rsidR="002A3D95" w:rsidRPr="00BE536E">
        <w:rPr>
          <w:rFonts w:ascii="Verdana" w:hAnsi="Verdana"/>
          <w:sz w:val="20"/>
          <w:szCs w:val="20"/>
        </w:rPr>
        <w:t>.</w:t>
      </w:r>
    </w:p>
    <w:p w14:paraId="04AAED63"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lastRenderedPageBreak/>
        <w:t>Ставка, получающаяся методом линейной интерполяции ставок по американским государственным облигациям - для задолженности со сроком до погашения, превышающим 30 календарных дней.</w:t>
      </w:r>
    </w:p>
    <w:p w14:paraId="2C619242" w14:textId="77777777" w:rsidR="002A3D95" w:rsidRPr="00BE536E" w:rsidRDefault="002A3D95" w:rsidP="002A3D95">
      <w:pPr>
        <w:spacing w:line="360" w:lineRule="auto"/>
        <w:ind w:firstLine="709"/>
        <w:rPr>
          <w:rFonts w:ascii="Verdana" w:hAnsi="Verdana"/>
          <w:sz w:val="20"/>
          <w:szCs w:val="20"/>
        </w:rPr>
      </w:pPr>
    </w:p>
    <w:p w14:paraId="3634B6A8" w14:textId="77777777" w:rsidR="002A3D95" w:rsidRPr="00BE536E" w:rsidRDefault="002A3D95" w:rsidP="00D05311">
      <w:pPr>
        <w:numPr>
          <w:ilvl w:val="0"/>
          <w:numId w:val="51"/>
        </w:numPr>
        <w:tabs>
          <w:tab w:val="left" w:pos="993"/>
        </w:tabs>
        <w:spacing w:after="0" w:line="360" w:lineRule="auto"/>
        <w:ind w:left="0" w:firstLine="709"/>
        <w:jc w:val="both"/>
        <w:rPr>
          <w:rFonts w:ascii="Verdana" w:hAnsi="Verdana"/>
          <w:sz w:val="20"/>
          <w:szCs w:val="20"/>
          <w:u w:val="single"/>
        </w:rPr>
      </w:pPr>
      <w:r w:rsidRPr="00BE536E">
        <w:rPr>
          <w:rFonts w:ascii="Verdana" w:hAnsi="Verdana"/>
          <w:sz w:val="20"/>
          <w:szCs w:val="20"/>
          <w:u w:val="single"/>
        </w:rPr>
        <w:t>В евро:</w:t>
      </w:r>
    </w:p>
    <w:p w14:paraId="1F502C37" w14:textId="77777777" w:rsidR="004847C8" w:rsidRPr="00BE536E" w:rsidRDefault="004847C8" w:rsidP="00D05311">
      <w:pPr>
        <w:spacing w:line="360" w:lineRule="auto"/>
        <w:jc w:val="both"/>
        <w:rPr>
          <w:rFonts w:ascii="Verdana" w:hAnsi="Verdana"/>
          <w:szCs w:val="20"/>
        </w:rPr>
      </w:pPr>
      <w:bookmarkStart w:id="17" w:name="_Hlk75285395"/>
      <w:r w:rsidRPr="00BE536E">
        <w:rPr>
          <w:rFonts w:ascii="Verdana" w:hAnsi="Verdana"/>
          <w:sz w:val="20"/>
          <w:szCs w:val="20"/>
        </w:rPr>
        <w:t>Для задолженности со сроком до погашения, не превышающим 1 календарный день – ставка ESTR</w:t>
      </w:r>
      <w:bookmarkEnd w:id="17"/>
      <w:r w:rsidRPr="00BE536E">
        <w:rPr>
          <w:rStyle w:val="ab"/>
          <w:rFonts w:ascii="Verdana" w:hAnsi="Verdana"/>
        </w:rPr>
        <w:footnoteReference w:id="13"/>
      </w:r>
      <w:r w:rsidRPr="00BE536E">
        <w:rPr>
          <w:rFonts w:ascii="Verdana" w:hAnsi="Verdana"/>
          <w:szCs w:val="20"/>
        </w:rPr>
        <w:t xml:space="preserve">; </w:t>
      </w:r>
    </w:p>
    <w:p w14:paraId="61BD0402" w14:textId="77777777" w:rsidR="002A3D95" w:rsidRPr="00BE536E" w:rsidRDefault="002A3D95" w:rsidP="002A3D95">
      <w:pPr>
        <w:spacing w:line="360" w:lineRule="auto"/>
        <w:ind w:firstLine="709"/>
        <w:rPr>
          <w:rFonts w:ascii="Verdana" w:hAnsi="Verdana"/>
          <w:sz w:val="20"/>
          <w:szCs w:val="20"/>
        </w:rPr>
      </w:pPr>
    </w:p>
    <w:p w14:paraId="2B4FAC40"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Для задолженности со сроком до погашения свыше 1 календарного дня, но не превышающим 90 календарных дней – интерполяция ставки между значением ставки ESTR и ставкой по облигациям еврозоны с рейтингом ААА</w:t>
      </w:r>
      <w:r w:rsidRPr="00BE536E">
        <w:rPr>
          <w:rStyle w:val="ab"/>
          <w:rFonts w:ascii="Verdana" w:hAnsi="Verdana"/>
        </w:rPr>
        <w:footnoteReference w:id="14"/>
      </w:r>
      <w:r w:rsidRPr="00BE536E">
        <w:rPr>
          <w:rFonts w:ascii="Verdana" w:hAnsi="Verdana"/>
          <w:sz w:val="20"/>
          <w:szCs w:val="20"/>
        </w:rPr>
        <w:t xml:space="preserve"> на срок 3 месяца.</w:t>
      </w:r>
    </w:p>
    <w:p w14:paraId="2A8FDFD4"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Ставка, получающаяся методом линейной интерполяции ставок по облигациям еврозоны с рейтингом ААА.- для задолженности со сроком до погашения, превышающим 90 календарных дней.</w:t>
      </w:r>
    </w:p>
    <w:p w14:paraId="6C8A93EA" w14:textId="77777777" w:rsidR="002A3D95" w:rsidRPr="00BE536E" w:rsidRDefault="002A3D95" w:rsidP="002A3D95">
      <w:pPr>
        <w:spacing w:line="360" w:lineRule="auto"/>
        <w:ind w:firstLine="709"/>
        <w:rPr>
          <w:rFonts w:ascii="Verdana" w:hAnsi="Verdana"/>
          <w:sz w:val="20"/>
          <w:szCs w:val="20"/>
        </w:rPr>
      </w:pPr>
    </w:p>
    <w:p w14:paraId="1B59784A" w14:textId="77777777" w:rsidR="002A3D95" w:rsidRPr="00BE536E" w:rsidRDefault="002A3D95" w:rsidP="002A3D95">
      <w:pPr>
        <w:spacing w:line="360" w:lineRule="auto"/>
        <w:ind w:firstLine="709"/>
        <w:rPr>
          <w:rFonts w:ascii="Verdana" w:hAnsi="Verdana"/>
          <w:b/>
          <w:sz w:val="20"/>
          <w:szCs w:val="20"/>
        </w:rPr>
      </w:pPr>
      <w:r w:rsidRPr="00BE536E">
        <w:rPr>
          <w:rFonts w:ascii="Verdana" w:hAnsi="Verdana"/>
          <w:b/>
          <w:sz w:val="20"/>
          <w:szCs w:val="20"/>
        </w:rPr>
        <w:t>Формула 1. Формула линейной интерполяции</w:t>
      </w:r>
    </w:p>
    <w:p w14:paraId="52686129" w14:textId="77777777" w:rsidR="002A3D95" w:rsidRPr="00BE536E" w:rsidRDefault="002A3D95" w:rsidP="002A3D95">
      <w:pPr>
        <w:spacing w:line="360" w:lineRule="auto"/>
        <w:ind w:firstLine="709"/>
        <w:rPr>
          <w:b/>
          <w:sz w:val="20"/>
          <w:szCs w:val="20"/>
        </w:rPr>
      </w:pPr>
    </w:p>
    <w:p w14:paraId="0964372B" w14:textId="77777777" w:rsidR="002A3D95" w:rsidRPr="00BE536E" w:rsidRDefault="00A3154D" w:rsidP="002A3D95">
      <w:pPr>
        <w:spacing w:line="360" w:lineRule="auto"/>
        <w:ind w:firstLine="709"/>
        <w:rPr>
          <w:b/>
          <w:i/>
          <w:sz w:val="20"/>
          <w:szCs w:val="20"/>
        </w:rPr>
      </w:pPr>
      <m:oMathPara>
        <m:oMath>
          <m:d>
            <m:dPr>
              <m:begChr m:val="{"/>
              <m:endChr m:val=""/>
              <m:ctrlPr>
                <w:rPr>
                  <w:rFonts w:ascii="Cambria Math" w:hAnsi="Cambria Math"/>
                  <w:b/>
                  <w:i/>
                  <w:sz w:val="20"/>
                  <w:szCs w:val="20"/>
                </w:rPr>
              </m:ctrlPr>
            </m:dPr>
            <m:e>
              <m:eqArr>
                <m:eqArrPr>
                  <m:ctrlPr>
                    <w:rPr>
                      <w:rFonts w:ascii="Cambria Math" w:hAnsi="Cambria Math"/>
                      <w:b/>
                      <w:i/>
                      <w:sz w:val="20"/>
                      <w:szCs w:val="20"/>
                    </w:rPr>
                  </m:ctrlPr>
                </m:eqArrPr>
                <m:e>
                  <m:sSub>
                    <m:sSubPr>
                      <m:ctrlPr>
                        <w:rPr>
                          <w:rFonts w:ascii="Cambria Math" w:hAnsi="Cambria Math"/>
                          <w:b/>
                          <w:i/>
                          <w:sz w:val="20"/>
                          <w:szCs w:val="20"/>
                          <w:lang w:val="en-US"/>
                        </w:rPr>
                      </m:ctrlPr>
                    </m:sSubPr>
                    <m:e>
                      <m:r>
                        <m:rPr>
                          <m:sty m:val="bi"/>
                        </m:rPr>
                        <w:rPr>
                          <w:rFonts w:ascii="Cambria Math" w:hAnsi="Cambria Math"/>
                          <w:sz w:val="20"/>
                          <w:szCs w:val="20"/>
                          <w:lang w:val="en-US"/>
                        </w:rPr>
                        <m:t>RK</m:t>
                      </m:r>
                    </m:e>
                    <m:sub>
                      <m:r>
                        <m:rPr>
                          <m:sty m:val="bi"/>
                        </m:rPr>
                        <w:rPr>
                          <w:rFonts w:ascii="Cambria Math" w:hAnsi="Cambria Math"/>
                          <w:sz w:val="20"/>
                          <w:szCs w:val="20"/>
                          <w:lang w:val="en-US"/>
                        </w:rPr>
                        <m:t>Dmin</m:t>
                      </m:r>
                    </m:sub>
                  </m:sSub>
                  <m:r>
                    <m:rPr>
                      <m:sty m:val="bi"/>
                    </m:rPr>
                    <w:rPr>
                      <w:rFonts w:ascii="Cambria Math" w:hAnsi="Cambria Math"/>
                      <w:sz w:val="20"/>
                      <w:szCs w:val="20"/>
                    </w:rPr>
                    <m:t xml:space="preserve">,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min</m:t>
                      </m:r>
                    </m:sub>
                  </m:sSub>
                </m:e>
                <m:e>
                  <m:sSub>
                    <m:sSubPr>
                      <m:ctrlPr>
                        <w:rPr>
                          <w:rFonts w:ascii="Cambria Math" w:hAnsi="Cambria Math"/>
                          <w:b/>
                          <w:i/>
                          <w:sz w:val="20"/>
                          <w:szCs w:val="20"/>
                        </w:rPr>
                      </m:ctrlPr>
                    </m:sSubPr>
                    <m:e>
                      <m:r>
                        <m:rPr>
                          <m:sty m:val="bi"/>
                        </m:rPr>
                        <w:rPr>
                          <w:rFonts w:ascii="Cambria Math" w:hAnsi="Cambria Math"/>
                          <w:sz w:val="20"/>
                          <w:szCs w:val="20"/>
                        </w:rPr>
                        <m:t>RK</m:t>
                      </m:r>
                    </m:e>
                    <m:sub>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sub>
                  </m:sSub>
                  <m:r>
                    <m:rPr>
                      <m:sty m:val="bi"/>
                    </m:rPr>
                    <w:rPr>
                      <w:rFonts w:ascii="Cambria Math" w:hAnsi="Cambria Math"/>
                      <w:sz w:val="20"/>
                      <w:szCs w:val="20"/>
                    </w:rPr>
                    <m:t>+</m:t>
                  </m:r>
                  <m:f>
                    <m:fPr>
                      <m:ctrlPr>
                        <w:rPr>
                          <w:rFonts w:ascii="Cambria Math" w:hAnsi="Cambria Math"/>
                          <w:b/>
                          <w:i/>
                          <w:sz w:val="20"/>
                          <w:szCs w:val="20"/>
                        </w:rPr>
                      </m:ctrlPr>
                    </m:fPr>
                    <m:num>
                      <m:sSub>
                        <m:sSubPr>
                          <m:ctrlPr>
                            <w:rPr>
                              <w:rFonts w:ascii="Cambria Math" w:hAnsi="Cambria Math"/>
                              <w:b/>
                              <w:i/>
                              <w:sz w:val="20"/>
                              <w:szCs w:val="20"/>
                            </w:rPr>
                          </m:ctrlPr>
                        </m:sSubPr>
                        <m:e>
                          <m:r>
                            <m:rPr>
                              <m:sty m:val="bi"/>
                            </m:rPr>
                            <w:rPr>
                              <w:rFonts w:ascii="Cambria Math" w:hAnsi="Cambria Math"/>
                              <w:sz w:val="20"/>
                              <w:szCs w:val="20"/>
                            </w:rPr>
                            <m:t>D</m:t>
                          </m:r>
                        </m:e>
                        <m:sub>
                          <m:r>
                            <m:rPr>
                              <m:sty m:val="bi"/>
                            </m:rPr>
                            <w:rPr>
                              <w:rFonts w:ascii="Cambria Math" w:hAnsi="Cambria Math"/>
                              <w:sz w:val="20"/>
                              <w:szCs w:val="20"/>
                            </w:rPr>
                            <m:t>m</m:t>
                          </m:r>
                        </m:sub>
                      </m:sSub>
                      <m:r>
                        <m:rPr>
                          <m:sty m:val="bi"/>
                        </m:rPr>
                        <w:rPr>
                          <w:rFonts w:ascii="Cambria Math" w:hAnsi="Cambria Math"/>
                          <w:sz w:val="20"/>
                          <w:szCs w:val="20"/>
                        </w:rPr>
                        <m:t>-</m:t>
                      </m:r>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num>
                    <m:den>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r>
                        <m:rPr>
                          <m:sty m:val="bi"/>
                        </m:rPr>
                        <w:rPr>
                          <w:rFonts w:ascii="Cambria Math" w:hAnsi="Cambria Math"/>
                          <w:sz w:val="20"/>
                          <w:szCs w:val="20"/>
                        </w:rPr>
                        <m:t>-</m:t>
                      </m:r>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den>
                  </m:f>
                  <m:r>
                    <m:rPr>
                      <m:sty m:val="bi"/>
                    </m:rPr>
                    <w:rPr>
                      <w:rFonts w:ascii="Cambria Math" w:hAnsi="Cambria Math"/>
                      <w:sz w:val="20"/>
                      <w:szCs w:val="20"/>
                    </w:rPr>
                    <m:t>×</m:t>
                  </m:r>
                  <m:d>
                    <m:dPr>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RK</m:t>
                          </m:r>
                        </m:e>
                        <m:sub>
                          <m:r>
                            <m:rPr>
                              <m:sty m:val="bi"/>
                            </m:rPr>
                            <w:rPr>
                              <w:rFonts w:ascii="Cambria Math" w:hAnsi="Cambria Math"/>
                              <w:sz w:val="20"/>
                              <w:szCs w:val="20"/>
                            </w:rPr>
                            <m:t>V+1</m:t>
                          </m:r>
                        </m:sub>
                      </m:sSub>
                      <m:r>
                        <m:rPr>
                          <m:sty m:val="bi"/>
                        </m:rPr>
                        <w:rPr>
                          <w:rFonts w:ascii="Cambria Math" w:hAnsi="Cambria Math"/>
                          <w:sz w:val="20"/>
                          <w:szCs w:val="20"/>
                        </w:rPr>
                        <m:t xml:space="preserve">- </m:t>
                      </m:r>
                      <m:sSub>
                        <m:sSubPr>
                          <m:ctrlPr>
                            <w:rPr>
                              <w:rFonts w:ascii="Cambria Math" w:hAnsi="Cambria Math"/>
                              <w:b/>
                              <w:i/>
                              <w:sz w:val="20"/>
                              <w:szCs w:val="20"/>
                            </w:rPr>
                          </m:ctrlPr>
                        </m:sSubPr>
                        <m:e>
                          <m:r>
                            <m:rPr>
                              <m:sty m:val="bi"/>
                            </m:rPr>
                            <w:rPr>
                              <w:rFonts w:ascii="Cambria Math" w:hAnsi="Cambria Math"/>
                              <w:sz w:val="20"/>
                              <w:szCs w:val="20"/>
                            </w:rPr>
                            <m:t>RK</m:t>
                          </m:r>
                        </m:e>
                        <m:sub>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sub>
                      </m:sSub>
                    </m:e>
                  </m:d>
                  <m:r>
                    <m:rPr>
                      <m:sty m:val="bi"/>
                    </m:rPr>
                    <w:rPr>
                      <w:rFonts w:ascii="Cambria Math" w:hAnsi="Cambria Math"/>
                      <w:sz w:val="20"/>
                      <w:szCs w:val="20"/>
                    </w:rPr>
                    <m:t xml:space="preserve"> ,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min</m:t>
                      </m:r>
                    </m:sub>
                  </m:sSub>
                  <m:r>
                    <m:rPr>
                      <m:sty m:val="bi"/>
                    </m:rPr>
                    <w:rPr>
                      <w:rFonts w:ascii="Cambria Math" w:hAnsi="Cambria Math"/>
                      <w:sz w:val="20"/>
                      <w:szCs w:val="20"/>
                      <w:lang w:val="en-US"/>
                    </w:rPr>
                    <m:t>&lt;</m:t>
                  </m:r>
                  <m: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&lt;</m:t>
                  </m:r>
                  <m: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max</m:t>
                      </m:r>
                    </m:sub>
                  </m:sSub>
                </m:e>
                <m:e>
                  <m:sSub>
                    <m:sSubPr>
                      <m:ctrlPr>
                        <w:rPr>
                          <w:rFonts w:ascii="Cambria Math" w:hAnsi="Cambria Math"/>
                          <w:b/>
                          <w:i/>
                          <w:sz w:val="20"/>
                          <w:szCs w:val="20"/>
                        </w:rPr>
                      </m:ctrlPr>
                    </m:sSubPr>
                    <m:e>
                      <m:r>
                        <m:rPr>
                          <m:sty m:val="bi"/>
                        </m:rPr>
                        <w:rPr>
                          <w:rFonts w:ascii="Cambria Math" w:hAnsi="Cambria Math"/>
                          <w:sz w:val="20"/>
                          <w:szCs w:val="20"/>
                        </w:rPr>
                        <m:t>RK</m:t>
                      </m:r>
                    </m:e>
                    <m:sub>
                      <m:r>
                        <m:rPr>
                          <m:sty m:val="bi"/>
                        </m:rPr>
                        <w:rPr>
                          <w:rFonts w:ascii="Cambria Math" w:hAnsi="Cambria Math"/>
                          <w:sz w:val="20"/>
                          <w:szCs w:val="20"/>
                        </w:rPr>
                        <m:t>Dmax</m:t>
                      </m:r>
                    </m:sub>
                  </m:sSub>
                  <m:r>
                    <m:rPr>
                      <m:sty m:val="bi"/>
                    </m:rPr>
                    <w:rPr>
                      <w:rFonts w:ascii="Cambria Math" w:hAnsi="Cambria Math"/>
                      <w:sz w:val="20"/>
                      <w:szCs w:val="20"/>
                    </w:rPr>
                    <m:t xml:space="preserve">,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 xml:space="preserve"> ≥ </m:t>
                  </m:r>
                  <m:sSub>
                    <m:sSubPr>
                      <m:ctrlPr>
                        <w:rPr>
                          <w:rFonts w:ascii="Cambria Math" w:hAnsi="Cambria Math"/>
                          <w:b/>
                          <w:i/>
                          <w:sz w:val="20"/>
                          <w:szCs w:val="20"/>
                        </w:rPr>
                      </m:ctrlPr>
                    </m:sSubPr>
                    <m:e>
                      <m:r>
                        <m:rPr>
                          <m:sty m:val="bi"/>
                        </m:rPr>
                        <w:rPr>
                          <w:rFonts w:ascii="Cambria Math" w:hAnsi="Cambria Math"/>
                          <w:sz w:val="20"/>
                          <w:szCs w:val="20"/>
                        </w:rPr>
                        <m:t>D</m:t>
                      </m:r>
                    </m:e>
                    <m:sub>
                      <m:r>
                        <m:rPr>
                          <m:sty m:val="bi"/>
                        </m:rPr>
                        <w:rPr>
                          <w:rFonts w:ascii="Cambria Math" w:hAnsi="Cambria Math"/>
                          <w:sz w:val="20"/>
                          <w:szCs w:val="20"/>
                        </w:rPr>
                        <m:t>max</m:t>
                      </m:r>
                    </m:sub>
                  </m:sSub>
                </m:e>
              </m:eqArr>
            </m:e>
          </m:d>
        </m:oMath>
      </m:oMathPara>
    </w:p>
    <w:p w14:paraId="64A514DB"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t>где:</w:t>
      </w:r>
    </w:p>
    <w:p w14:paraId="2C1E0427"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D</w:t>
      </w:r>
      <w:r w:rsidRPr="00BE536E">
        <w:rPr>
          <w:rFonts w:ascii="Verdana" w:hAnsi="Verdana"/>
          <w:b/>
          <w:sz w:val="20"/>
          <w:szCs w:val="20"/>
          <w:vertAlign w:val="subscript"/>
        </w:rPr>
        <w:t>m</w:t>
      </w:r>
      <w:r w:rsidRPr="00BE536E">
        <w:rPr>
          <w:rFonts w:ascii="Verdana" w:hAnsi="Verdana"/>
          <w:sz w:val="20"/>
          <w:szCs w:val="20"/>
        </w:rPr>
        <w:t xml:space="preserve"> - срок до погашения инструмента m в годах</w:t>
      </w:r>
      <w:r w:rsidR="00977213" w:rsidRPr="00BE536E">
        <w:rPr>
          <w:sz w:val="24"/>
          <w:szCs w:val="24"/>
        </w:rPr>
        <w:t xml:space="preserve"> определяется с точностью до 4 знаков после запятой)</w:t>
      </w:r>
      <w:r w:rsidRPr="00BE536E">
        <w:rPr>
          <w:rFonts w:ascii="Verdana" w:hAnsi="Verdana"/>
          <w:sz w:val="20"/>
          <w:szCs w:val="20"/>
        </w:rPr>
        <w:t>;</w:t>
      </w:r>
    </w:p>
    <w:p w14:paraId="169229E8"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D</w:t>
      </w:r>
      <w:r w:rsidRPr="00BE536E">
        <w:rPr>
          <w:rFonts w:ascii="Verdana" w:hAnsi="Verdana"/>
          <w:b/>
          <w:sz w:val="20"/>
          <w:szCs w:val="20"/>
          <w:vertAlign w:val="subscript"/>
        </w:rPr>
        <w:t>min</w:t>
      </w:r>
      <w:r w:rsidRPr="00BE536E">
        <w:rPr>
          <w:rFonts w:ascii="Verdana" w:hAnsi="Verdana"/>
          <w:b/>
          <w:sz w:val="20"/>
          <w:szCs w:val="20"/>
        </w:rPr>
        <w:t>, D</w:t>
      </w:r>
      <w:r w:rsidRPr="00BE536E">
        <w:rPr>
          <w:rFonts w:ascii="Verdana" w:hAnsi="Verdana"/>
          <w:b/>
          <w:sz w:val="20"/>
          <w:szCs w:val="20"/>
          <w:vertAlign w:val="subscript"/>
        </w:rPr>
        <w:t>max</w:t>
      </w:r>
      <w:r w:rsidRPr="00BE536E">
        <w:rPr>
          <w:rFonts w:ascii="Verdana" w:hAnsi="Verdana"/>
          <w:sz w:val="20"/>
          <w:szCs w:val="20"/>
        </w:rPr>
        <w:t xml:space="preserve"> - минимальный (максимальный) срок, на который определен уровень процентных ставок бескупонной доходности подходящих (релевантных) государственных ценных бумаг, в годах</w:t>
      </w:r>
      <w:r w:rsidR="00060C05" w:rsidRPr="00BE536E">
        <w:rPr>
          <w:sz w:val="24"/>
          <w:szCs w:val="24"/>
        </w:rPr>
        <w:t xml:space="preserve"> (определяется с точностью до 4 знаков после запятой)</w:t>
      </w:r>
      <w:r w:rsidRPr="00BE536E">
        <w:rPr>
          <w:rFonts w:ascii="Verdana" w:hAnsi="Verdana"/>
          <w:sz w:val="20"/>
          <w:szCs w:val="20"/>
        </w:rPr>
        <w:t>;</w:t>
      </w:r>
    </w:p>
    <w:p w14:paraId="005E65AD"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lastRenderedPageBreak/>
        <w:t>V</w:t>
      </w:r>
      <w:r w:rsidRPr="00BE536E">
        <w:rPr>
          <w:rFonts w:ascii="Verdana" w:hAnsi="Verdana"/>
          <w:b/>
          <w:sz w:val="20"/>
          <w:szCs w:val="20"/>
          <w:vertAlign w:val="subscript"/>
        </w:rPr>
        <w:t>+1</w:t>
      </w:r>
      <w:r w:rsidRPr="00BE536E">
        <w:rPr>
          <w:rFonts w:ascii="Verdana" w:hAnsi="Verdana"/>
          <w:b/>
          <w:sz w:val="20"/>
          <w:szCs w:val="20"/>
        </w:rPr>
        <w:t>, V</w:t>
      </w:r>
      <w:r w:rsidRPr="00BE536E">
        <w:rPr>
          <w:rFonts w:ascii="Verdana" w:hAnsi="Verdana"/>
          <w:b/>
          <w:sz w:val="20"/>
          <w:szCs w:val="20"/>
          <w:vertAlign w:val="subscript"/>
        </w:rPr>
        <w:t>-1</w:t>
      </w:r>
      <w:r w:rsidRPr="00BE536E">
        <w:rPr>
          <w:rFonts w:ascii="Verdana" w:hAnsi="Verdana"/>
          <w:sz w:val="20"/>
          <w:szCs w:val="20"/>
        </w:rPr>
        <w:t xml:space="preserve"> – наиболее близкий к </w:t>
      </w:r>
      <w:r w:rsidRPr="00BE536E">
        <w:rPr>
          <w:rFonts w:ascii="Verdana" w:hAnsi="Verdana"/>
          <w:sz w:val="20"/>
          <w:szCs w:val="20"/>
          <w:lang w:val="en-US"/>
        </w:rPr>
        <w:t>D</w:t>
      </w:r>
      <w:r w:rsidRPr="00BE536E">
        <w:rPr>
          <w:rFonts w:ascii="Verdana" w:hAnsi="Verdana"/>
          <w:sz w:val="20"/>
          <w:szCs w:val="20"/>
          <w:vertAlign w:val="subscript"/>
          <w:lang w:val="en-US"/>
        </w:rPr>
        <w:t>m</w:t>
      </w:r>
      <w:r w:rsidRPr="00BE536E">
        <w:rPr>
          <w:rFonts w:ascii="Verdana" w:hAnsi="Verdana"/>
          <w:sz w:val="20"/>
          <w:szCs w:val="20"/>
        </w:rPr>
        <w:t xml:space="preserve"> срок, на который известно значение кривой бескупонной доходности, не превышающий (превышающий) D</w:t>
      </w:r>
      <w:r w:rsidRPr="00BE536E">
        <w:rPr>
          <w:rFonts w:ascii="Verdana" w:hAnsi="Verdana"/>
          <w:sz w:val="20"/>
          <w:szCs w:val="20"/>
          <w:vertAlign w:val="subscript"/>
        </w:rPr>
        <w:t>m</w:t>
      </w:r>
      <w:r w:rsidRPr="00BE536E">
        <w:rPr>
          <w:rFonts w:ascii="Verdana" w:hAnsi="Verdana"/>
          <w:sz w:val="20"/>
          <w:szCs w:val="20"/>
        </w:rPr>
        <w:t>, в годах;</w:t>
      </w:r>
    </w:p>
    <w:p w14:paraId="406F60C2" w14:textId="77777777" w:rsidR="002A3D95" w:rsidRPr="00BE536E" w:rsidRDefault="002A3D95" w:rsidP="002A3D95">
      <w:pPr>
        <w:spacing w:after="0" w:line="360" w:lineRule="auto"/>
        <w:ind w:firstLine="709"/>
        <w:jc w:val="both"/>
        <w:rPr>
          <w:rFonts w:ascii="Verdana" w:hAnsi="Verdana"/>
          <w:sz w:val="20"/>
          <w:szCs w:val="20"/>
          <w:vertAlign w:val="subscript"/>
        </w:rPr>
      </w:pPr>
      <w:r w:rsidRPr="00BE536E">
        <w:rPr>
          <w:rFonts w:ascii="Verdana" w:hAnsi="Verdana"/>
          <w:b/>
          <w:sz w:val="20"/>
          <w:szCs w:val="20"/>
        </w:rPr>
        <w:t>RK(</w:t>
      </w:r>
      <w:r w:rsidRPr="00BE536E">
        <w:rPr>
          <w:rFonts w:ascii="Verdana" w:hAnsi="Verdana"/>
          <w:b/>
          <w:sz w:val="20"/>
          <w:szCs w:val="20"/>
          <w:lang w:val="en-US"/>
        </w:rPr>
        <w:t>T</w:t>
      </w:r>
      <w:r w:rsidRPr="00BE536E">
        <w:rPr>
          <w:rFonts w:ascii="Verdana" w:hAnsi="Verdana"/>
          <w:b/>
          <w:sz w:val="20"/>
          <w:szCs w:val="20"/>
        </w:rPr>
        <w:t xml:space="preserve">) </w:t>
      </w:r>
      <w:r w:rsidRPr="00BE536E">
        <w:rPr>
          <w:rFonts w:ascii="Verdana" w:hAnsi="Verdana"/>
          <w:sz w:val="20"/>
          <w:szCs w:val="20"/>
        </w:rPr>
        <w:t xml:space="preserve">– уровень процентных ставок для срока </w:t>
      </w:r>
      <w:r w:rsidRPr="00BE536E">
        <w:rPr>
          <w:rFonts w:ascii="Verdana" w:hAnsi="Verdana"/>
          <w:sz w:val="20"/>
          <w:szCs w:val="20"/>
          <w:lang w:val="en-US"/>
        </w:rPr>
        <w:t>T</w:t>
      </w:r>
      <w:r w:rsidRPr="00BE536E">
        <w:rPr>
          <w:rFonts w:ascii="Verdana" w:hAnsi="Verdana"/>
          <w:sz w:val="20"/>
          <w:szCs w:val="20"/>
        </w:rPr>
        <w:t xml:space="preserve">, где </w:t>
      </w:r>
      <w:r w:rsidRPr="00BE536E">
        <w:rPr>
          <w:rFonts w:ascii="Verdana" w:hAnsi="Verdana"/>
          <w:sz w:val="20"/>
          <w:szCs w:val="20"/>
          <w:lang w:val="en-US"/>
        </w:rPr>
        <w:t>T</w:t>
      </w:r>
      <w:r w:rsidRPr="00BE536E">
        <w:rPr>
          <w:rFonts w:ascii="Verdana" w:hAnsi="Verdana"/>
          <w:sz w:val="20"/>
          <w:szCs w:val="20"/>
        </w:rPr>
        <w:t xml:space="preserve"> может принимать значения </w:t>
      </w:r>
      <w:r w:rsidRPr="00BE536E">
        <w:rPr>
          <w:rFonts w:ascii="Verdana" w:hAnsi="Verdana"/>
          <w:sz w:val="20"/>
          <w:szCs w:val="20"/>
          <w:lang w:val="en-US"/>
        </w:rPr>
        <w:t>V</w:t>
      </w:r>
      <w:r w:rsidRPr="00BE536E">
        <w:rPr>
          <w:rFonts w:ascii="Verdana" w:hAnsi="Verdana"/>
          <w:sz w:val="20"/>
          <w:szCs w:val="20"/>
        </w:rPr>
        <w:t xml:space="preserve">-1, </w:t>
      </w:r>
      <w:r w:rsidRPr="00BE536E">
        <w:rPr>
          <w:rFonts w:ascii="Verdana" w:hAnsi="Verdana"/>
          <w:sz w:val="20"/>
          <w:szCs w:val="20"/>
          <w:lang w:val="en-US"/>
        </w:rPr>
        <w:t>V</w:t>
      </w:r>
      <w:r w:rsidRPr="00BE536E">
        <w:rPr>
          <w:rFonts w:ascii="Verdana" w:hAnsi="Verdana"/>
          <w:sz w:val="20"/>
          <w:szCs w:val="20"/>
        </w:rPr>
        <w:t xml:space="preserve">+1, </w:t>
      </w:r>
      <w:r w:rsidRPr="00BE536E">
        <w:rPr>
          <w:rFonts w:ascii="Verdana" w:hAnsi="Verdana"/>
          <w:sz w:val="20"/>
          <w:szCs w:val="20"/>
          <w:lang w:val="en-US"/>
        </w:rPr>
        <w:t>Dmin</w:t>
      </w:r>
      <w:r w:rsidRPr="00BE536E">
        <w:rPr>
          <w:rFonts w:ascii="Verdana" w:hAnsi="Verdana"/>
          <w:sz w:val="20"/>
          <w:szCs w:val="20"/>
        </w:rPr>
        <w:t xml:space="preserve">, </w:t>
      </w:r>
      <w:r w:rsidRPr="00BE536E">
        <w:rPr>
          <w:rFonts w:ascii="Verdana" w:hAnsi="Verdana"/>
          <w:sz w:val="20"/>
          <w:szCs w:val="20"/>
          <w:lang w:val="en-US"/>
        </w:rPr>
        <w:t>Dmax</w:t>
      </w:r>
      <w:r w:rsidRPr="00BE536E">
        <w:rPr>
          <w:rFonts w:ascii="Verdana" w:hAnsi="Verdana"/>
          <w:sz w:val="20"/>
          <w:szCs w:val="20"/>
        </w:rPr>
        <w:t>.</w:t>
      </w:r>
    </w:p>
    <w:p w14:paraId="0BDFD430"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PD (вероятность дефолта) по активу</w:t>
      </w:r>
      <w:r w:rsidRPr="00BE536E">
        <w:rPr>
          <w:rFonts w:ascii="Verdana" w:hAnsi="Verdana"/>
          <w:sz w:val="20"/>
          <w:szCs w:val="20"/>
        </w:rPr>
        <w:t xml:space="preserve"> – оценка вероятности наступления события дефолта. Порядок определения </w:t>
      </w:r>
      <w:r w:rsidRPr="00BE536E">
        <w:rPr>
          <w:rFonts w:ascii="Verdana" w:hAnsi="Verdana"/>
          <w:sz w:val="20"/>
          <w:szCs w:val="20"/>
          <w:lang w:val="en-US"/>
        </w:rPr>
        <w:t>PD</w:t>
      </w:r>
      <w:r w:rsidRPr="00BE536E">
        <w:rPr>
          <w:rFonts w:ascii="Verdana" w:hAnsi="Verdana"/>
          <w:sz w:val="20"/>
          <w:szCs w:val="20"/>
        </w:rPr>
        <w:t xml:space="preserve"> установлен в разделе 4 настоящего Приложения.</w:t>
      </w:r>
    </w:p>
    <w:p w14:paraId="24DBF1E8"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LGD (loss given default)</w:t>
      </w:r>
      <w:r w:rsidRPr="00BE536E">
        <w:rPr>
          <w:rFonts w:ascii="Verdana" w:hAnsi="Verdana"/>
          <w:sz w:val="20"/>
          <w:szCs w:val="20"/>
        </w:rPr>
        <w:t xml:space="preserve"> – оценка уровня потерь в случае наступления дефолта. Рассчитывается с учетом обеспечения по обязательству, включая залог, поручительство и т.п. Порядок определения </w:t>
      </w:r>
      <w:r w:rsidRPr="00BE536E">
        <w:rPr>
          <w:rFonts w:ascii="Verdana" w:hAnsi="Verdana"/>
          <w:sz w:val="20"/>
          <w:szCs w:val="20"/>
          <w:lang w:val="en-US"/>
        </w:rPr>
        <w:t>LGD</w:t>
      </w:r>
      <w:r w:rsidRPr="00BE536E">
        <w:rPr>
          <w:rFonts w:ascii="Verdana" w:hAnsi="Verdana"/>
          <w:sz w:val="20"/>
          <w:szCs w:val="20"/>
        </w:rPr>
        <w:t xml:space="preserve"> установлен в разделе 5 настоящего Приложения.</w:t>
      </w:r>
    </w:p>
    <w:p w14:paraId="24DC1B2A"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lang w:val="en-US"/>
        </w:rPr>
        <w:t>CoR</w:t>
      </w:r>
      <w:r w:rsidRPr="00BE536E">
        <w:rPr>
          <w:rFonts w:ascii="Verdana" w:hAnsi="Verdana"/>
          <w:b/>
          <w:sz w:val="20"/>
          <w:szCs w:val="20"/>
        </w:rPr>
        <w:t xml:space="preserve"> (</w:t>
      </w:r>
      <w:r w:rsidRPr="00BE536E">
        <w:rPr>
          <w:rFonts w:ascii="Verdana" w:hAnsi="Verdana"/>
          <w:b/>
          <w:sz w:val="20"/>
          <w:szCs w:val="20"/>
          <w:lang w:val="en-US"/>
        </w:rPr>
        <w:t>Cost</w:t>
      </w:r>
      <w:r w:rsidRPr="00BE536E">
        <w:rPr>
          <w:rFonts w:ascii="Verdana" w:hAnsi="Verdana"/>
          <w:b/>
          <w:sz w:val="20"/>
          <w:szCs w:val="20"/>
        </w:rPr>
        <w:t xml:space="preserve"> </w:t>
      </w:r>
      <w:r w:rsidRPr="00BE536E">
        <w:rPr>
          <w:rFonts w:ascii="Verdana" w:hAnsi="Verdana"/>
          <w:b/>
          <w:sz w:val="20"/>
          <w:szCs w:val="20"/>
          <w:lang w:val="en-US"/>
        </w:rPr>
        <w:t>of</w:t>
      </w:r>
      <w:r w:rsidRPr="00BE536E">
        <w:rPr>
          <w:rFonts w:ascii="Verdana" w:hAnsi="Verdana"/>
          <w:b/>
          <w:sz w:val="20"/>
          <w:szCs w:val="20"/>
        </w:rPr>
        <w:t xml:space="preserve"> </w:t>
      </w:r>
      <w:r w:rsidRPr="00BE536E">
        <w:rPr>
          <w:rFonts w:ascii="Verdana" w:hAnsi="Verdana"/>
          <w:b/>
          <w:sz w:val="20"/>
          <w:szCs w:val="20"/>
          <w:lang w:val="en-US"/>
        </w:rPr>
        <w:t>Risk</w:t>
      </w:r>
      <w:r w:rsidRPr="00BE536E">
        <w:rPr>
          <w:rFonts w:ascii="Verdana" w:hAnsi="Verdana"/>
          <w:b/>
          <w:sz w:val="20"/>
          <w:szCs w:val="20"/>
        </w:rPr>
        <w:t>, стоимость риска)</w:t>
      </w:r>
      <w:r w:rsidRPr="00BE536E">
        <w:rPr>
          <w:rFonts w:ascii="Verdana" w:hAnsi="Verdana"/>
          <w:sz w:val="20"/>
          <w:szCs w:val="20"/>
        </w:rPr>
        <w:t xml:space="preserve"> – доля ожидаемых кредитных убытков, определяемая как отношение суммы сформированного резерва под кредитные убытки к валовой балансовой стоимости кредитов по данным отчетности МСФО выбранных банков</w:t>
      </w:r>
      <w:r w:rsidR="006D491A" w:rsidRPr="00BE536E">
        <w:rPr>
          <w:rFonts w:ascii="Verdana" w:hAnsi="Verdana"/>
          <w:sz w:val="20"/>
          <w:szCs w:val="20"/>
        </w:rPr>
        <w:t xml:space="preserve"> (</w:t>
      </w:r>
      <w:r w:rsidR="006D491A" w:rsidRPr="00BE536E">
        <w:rPr>
          <w:sz w:val="24"/>
          <w:szCs w:val="24"/>
        </w:rPr>
        <w:t>определяется с точностью до 4 знаков после запятой</w:t>
      </w:r>
      <w:r w:rsidR="006D491A" w:rsidRPr="00BE536E">
        <w:rPr>
          <w:rFonts w:ascii="Verdana" w:hAnsi="Verdana"/>
          <w:sz w:val="20"/>
          <w:szCs w:val="20"/>
        </w:rPr>
        <w:t>)</w:t>
      </w:r>
      <w:r w:rsidRPr="00BE536E">
        <w:rPr>
          <w:rFonts w:ascii="Verdana" w:hAnsi="Verdana"/>
          <w:sz w:val="20"/>
          <w:szCs w:val="20"/>
        </w:rPr>
        <w:t xml:space="preserve">. Порядок определения </w:t>
      </w:r>
      <w:r w:rsidRPr="00BE536E">
        <w:rPr>
          <w:rFonts w:ascii="Verdana" w:hAnsi="Verdana"/>
          <w:sz w:val="20"/>
          <w:szCs w:val="20"/>
          <w:lang w:val="en-US"/>
        </w:rPr>
        <w:t>CoR</w:t>
      </w:r>
      <w:r w:rsidRPr="00BE536E">
        <w:rPr>
          <w:rFonts w:ascii="Verdana" w:hAnsi="Verdana"/>
          <w:sz w:val="20"/>
          <w:szCs w:val="20"/>
        </w:rPr>
        <w:t xml:space="preserve"> установлен в разделе 6 настоящего Приложения. </w:t>
      </w:r>
    </w:p>
    <w:p w14:paraId="2B0AD17B" w14:textId="77777777" w:rsidR="002A3D95" w:rsidRPr="00BE536E" w:rsidRDefault="002A3D95" w:rsidP="002A3D95">
      <w:pPr>
        <w:spacing w:after="0" w:line="360" w:lineRule="auto"/>
        <w:ind w:firstLine="709"/>
        <w:jc w:val="both"/>
        <w:rPr>
          <w:rFonts w:ascii="Verdana" w:hAnsi="Verdana"/>
          <w:sz w:val="20"/>
          <w:szCs w:val="20"/>
        </w:rPr>
      </w:pPr>
    </w:p>
    <w:p w14:paraId="59133080"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b/>
          <w:bCs/>
          <w:iCs/>
          <w:sz w:val="20"/>
          <w:szCs w:val="20"/>
        </w:rPr>
        <w:t>Кредитный рейтинг</w:t>
      </w:r>
      <w:r w:rsidRPr="00BE536E">
        <w:rPr>
          <w:rFonts w:ascii="Verdana" w:hAnsi="Verdana"/>
          <w:bCs/>
          <w:i/>
          <w:iCs/>
          <w:sz w:val="20"/>
          <w:szCs w:val="20"/>
        </w:rPr>
        <w:t xml:space="preserve"> – </w:t>
      </w:r>
      <w:r w:rsidRPr="00BE536E">
        <w:rPr>
          <w:rFonts w:ascii="Verdana" w:hAnsi="Verdana"/>
          <w:sz w:val="20"/>
          <w:szCs w:val="20"/>
        </w:rPr>
        <w:t xml:space="preserve">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выраженное с использованием рейтинговой категории по определенной рейтинговой шкале. </w:t>
      </w:r>
    </w:p>
    <w:p w14:paraId="50389004"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В целях применения настоящей методики для мониторинга признаков обесценения и событий дефолта используются информация, полученная (опубликованная) от следующих рейтинговых агентств:</w:t>
      </w:r>
    </w:p>
    <w:p w14:paraId="24F9CA6A"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Moody's Investors Service</w:t>
      </w:r>
    </w:p>
    <w:p w14:paraId="1DD6F9A2"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Standard &amp; Poor's</w:t>
      </w:r>
    </w:p>
    <w:p w14:paraId="5B338D5F"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Fitch Ratings</w:t>
      </w:r>
    </w:p>
    <w:p w14:paraId="63C36753"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Аналитическое Кредитное Рейтинговое Агентство (АКРА)</w:t>
      </w:r>
    </w:p>
    <w:p w14:paraId="5A5FD7FB"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Рейтинговое агентство RAEX («Эксперт РА»)</w:t>
      </w:r>
    </w:p>
    <w:p w14:paraId="29EDA98D"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Общество с ограниченной ответственностью «Национальное Рейтинговое Агентство» </w:t>
      </w:r>
      <w:r w:rsidRPr="00BE536E">
        <w:rPr>
          <w:rFonts w:ascii="Verdana" w:hAnsi="Verdana"/>
          <w:sz w:val="20"/>
          <w:szCs w:val="20"/>
        </w:rPr>
        <w:tab/>
        <w:t>(ООО «НРА»)</w:t>
      </w:r>
    </w:p>
    <w:p w14:paraId="1D8E593F"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Общество с ограниченной ответственностью «Национальные Кредитные Рейтинги»</w:t>
      </w:r>
      <w:r w:rsidRPr="00BE536E">
        <w:rPr>
          <w:rFonts w:ascii="Verdana" w:hAnsi="Verdana"/>
          <w:sz w:val="20"/>
          <w:szCs w:val="20"/>
        </w:rPr>
        <w:tab/>
        <w:t>(ООО «НКР»)</w:t>
      </w:r>
    </w:p>
    <w:p w14:paraId="79028340"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В целях применения настоящей методики для определения уровня рейтинга с целью последующего определения величин </w:t>
      </w:r>
      <w:r w:rsidRPr="00BE536E">
        <w:rPr>
          <w:rFonts w:ascii="Verdana" w:hAnsi="Verdana"/>
          <w:sz w:val="20"/>
          <w:szCs w:val="20"/>
          <w:lang w:val="en-US"/>
        </w:rPr>
        <w:t>PD</w:t>
      </w:r>
      <w:r w:rsidRPr="00BE536E">
        <w:rPr>
          <w:rFonts w:ascii="Verdana" w:hAnsi="Verdana"/>
          <w:sz w:val="20"/>
          <w:szCs w:val="20"/>
        </w:rPr>
        <w:t>, используется информация, полученная (опубликованная) от следующих рейтинговых агентств:</w:t>
      </w:r>
    </w:p>
    <w:p w14:paraId="70722562"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Moody's Investors Service</w:t>
      </w:r>
    </w:p>
    <w:p w14:paraId="6611199C"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lastRenderedPageBreak/>
        <w:t>Standard &amp; Poor's</w:t>
      </w:r>
    </w:p>
    <w:p w14:paraId="39105D00"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Fitch Ratings</w:t>
      </w:r>
    </w:p>
    <w:p w14:paraId="43CC8EFC"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Аналитическое Кредитное Рейтинговое Агентство (АКРА)</w:t>
      </w:r>
    </w:p>
    <w:p w14:paraId="1996260D"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Рейтинговое агентство RAEX («Эксперт РА»)</w:t>
      </w:r>
    </w:p>
    <w:p w14:paraId="303E85A8" w14:textId="77777777" w:rsidR="002A3D95" w:rsidRPr="00BE536E" w:rsidRDefault="002A3D95" w:rsidP="002A3D95">
      <w:pPr>
        <w:autoSpaceDE w:val="0"/>
        <w:autoSpaceDN w:val="0"/>
        <w:spacing w:line="360" w:lineRule="auto"/>
        <w:ind w:left="709"/>
        <w:rPr>
          <w:rFonts w:ascii="Verdana" w:hAnsi="Verdana"/>
          <w:sz w:val="20"/>
          <w:szCs w:val="20"/>
        </w:rPr>
      </w:pPr>
    </w:p>
    <w:p w14:paraId="699A5C10"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Ступень кредитного рейтинга (грейд)</w:t>
      </w:r>
      <w:r w:rsidRPr="00BE536E">
        <w:rPr>
          <w:rFonts w:ascii="Verdana" w:hAnsi="Verdana"/>
          <w:sz w:val="20"/>
          <w:szCs w:val="20"/>
        </w:rPr>
        <w:t xml:space="preserve"> - минимальный шаг детализации кредитного рейтинга в буквенно-символьных (например, ВВВ-, BB+ и т.п.) или буквенно-числовых (например, Baa3, Ba1) обозначениях</w:t>
      </w:r>
    </w:p>
    <w:p w14:paraId="61CAD071" w14:textId="77777777" w:rsidR="002A3D95" w:rsidRPr="00BE536E" w:rsidRDefault="002A3D95" w:rsidP="002A3D95">
      <w:pPr>
        <w:pStyle w:val="affe"/>
        <w:shd w:val="clear" w:color="auto" w:fill="FFFFFF"/>
        <w:spacing w:before="0" w:beforeAutospacing="0" w:after="0" w:afterAutospacing="0" w:line="360" w:lineRule="auto"/>
        <w:ind w:firstLine="709"/>
        <w:jc w:val="both"/>
        <w:rPr>
          <w:rFonts w:ascii="Verdana" w:hAnsi="Verdana"/>
          <w:b/>
          <w:color w:val="auto"/>
          <w:sz w:val="20"/>
          <w:szCs w:val="20"/>
        </w:rPr>
      </w:pPr>
    </w:p>
    <w:p w14:paraId="3CAB57D7" w14:textId="77777777" w:rsidR="002A3D95" w:rsidRPr="00BE536E" w:rsidRDefault="002A3D95" w:rsidP="002A3D95">
      <w:pPr>
        <w:pStyle w:val="affe"/>
        <w:shd w:val="clear" w:color="auto" w:fill="FFFFFF"/>
        <w:spacing w:before="0" w:beforeAutospacing="0" w:after="0" w:afterAutospacing="0" w:line="360" w:lineRule="auto"/>
        <w:ind w:firstLine="709"/>
        <w:jc w:val="both"/>
        <w:rPr>
          <w:rFonts w:ascii="Verdana" w:hAnsi="Verdana"/>
          <w:color w:val="auto"/>
          <w:sz w:val="20"/>
          <w:szCs w:val="20"/>
        </w:rPr>
      </w:pPr>
      <w:r w:rsidRPr="00BE536E">
        <w:rPr>
          <w:rFonts w:ascii="Verdana" w:hAnsi="Verdana"/>
          <w:b/>
          <w:color w:val="auto"/>
          <w:sz w:val="20"/>
          <w:szCs w:val="20"/>
        </w:rPr>
        <w:t>Дефолт</w:t>
      </w:r>
      <w:r w:rsidRPr="00BE536E">
        <w:rPr>
          <w:rFonts w:ascii="Verdana" w:hAnsi="Verdana"/>
          <w:color w:val="auto"/>
          <w:sz w:val="20"/>
          <w:szCs w:val="20"/>
        </w:rPr>
        <w:t xml:space="preserve"> -  выявление событий, приравниваемых к дефолту и установленных в разделе 3 настоящего Приложения и отсутствие урегулирования ситуации на сроки, определяемые отдельно для разного вида активов/обязательств.</w:t>
      </w:r>
    </w:p>
    <w:p w14:paraId="1455B650"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Предельные сроки признания дефолта для различных видов задолженности указаны в п. 3.1.</w:t>
      </w:r>
    </w:p>
    <w:p w14:paraId="373FE16C" w14:textId="77777777" w:rsidR="002A3D95" w:rsidRPr="00BE536E" w:rsidRDefault="002A3D95" w:rsidP="002A3D95">
      <w:pPr>
        <w:autoSpaceDE w:val="0"/>
        <w:autoSpaceDN w:val="0"/>
        <w:spacing w:after="0" w:line="360" w:lineRule="auto"/>
        <w:ind w:firstLine="709"/>
        <w:jc w:val="both"/>
        <w:rPr>
          <w:rFonts w:ascii="Verdana" w:hAnsi="Verdana"/>
          <w:sz w:val="20"/>
          <w:szCs w:val="20"/>
        </w:rPr>
      </w:pPr>
    </w:p>
    <w:p w14:paraId="28B7B537" w14:textId="77777777" w:rsidR="002A3D95" w:rsidRPr="00BE536E" w:rsidRDefault="002A3D95" w:rsidP="002A3D95">
      <w:pPr>
        <w:pStyle w:val="affe"/>
        <w:shd w:val="clear" w:color="auto" w:fill="FFFFFF"/>
        <w:spacing w:before="0" w:beforeAutospacing="0" w:after="0" w:afterAutospacing="0" w:line="360" w:lineRule="auto"/>
        <w:ind w:firstLine="709"/>
        <w:jc w:val="both"/>
        <w:rPr>
          <w:rFonts w:ascii="Verdana" w:hAnsi="Verdana"/>
          <w:color w:val="auto"/>
          <w:sz w:val="20"/>
          <w:szCs w:val="20"/>
        </w:rPr>
      </w:pPr>
      <w:r w:rsidRPr="00BE536E">
        <w:rPr>
          <w:rFonts w:ascii="Verdana" w:hAnsi="Verdana"/>
          <w:b/>
          <w:color w:val="auto"/>
          <w:sz w:val="20"/>
          <w:szCs w:val="20"/>
        </w:rPr>
        <w:t>Операционная дебиторская задолженность</w:t>
      </w:r>
      <w:r w:rsidRPr="00BE536E">
        <w:rPr>
          <w:rFonts w:ascii="Verdana" w:hAnsi="Verdana"/>
          <w:color w:val="auto"/>
          <w:sz w:val="20"/>
          <w:szCs w:val="20"/>
        </w:rPr>
        <w:t xml:space="preserve"> – дебиторская задолженность, отвечающая критериям, установленным в настоящих Правил</w:t>
      </w:r>
      <w:r w:rsidR="00D42FA8" w:rsidRPr="00BE536E">
        <w:rPr>
          <w:rFonts w:ascii="Verdana" w:hAnsi="Verdana"/>
          <w:color w:val="auto"/>
          <w:sz w:val="20"/>
          <w:szCs w:val="20"/>
        </w:rPr>
        <w:t>ах</w:t>
      </w:r>
      <w:r w:rsidRPr="00BE536E">
        <w:rPr>
          <w:rFonts w:ascii="Verdana" w:hAnsi="Verdana"/>
          <w:color w:val="auto"/>
          <w:sz w:val="20"/>
          <w:szCs w:val="20"/>
        </w:rPr>
        <w:t xml:space="preserve"> определения СЧА для признания задолженности операционной.</w:t>
      </w:r>
    </w:p>
    <w:p w14:paraId="2AAFD5AD" w14:textId="77777777" w:rsidR="002A3D95" w:rsidRPr="00BE536E" w:rsidRDefault="002A3D95" w:rsidP="002A3D95">
      <w:pPr>
        <w:spacing w:after="0" w:line="360" w:lineRule="auto"/>
        <w:ind w:firstLine="709"/>
        <w:jc w:val="both"/>
        <w:rPr>
          <w:rFonts w:ascii="Times New Roman" w:hAnsi="Times New Roman"/>
          <w:sz w:val="20"/>
          <w:szCs w:val="20"/>
        </w:rPr>
      </w:pPr>
    </w:p>
    <w:p w14:paraId="36A50765" w14:textId="77777777" w:rsidR="002A3D95" w:rsidRPr="00BE536E" w:rsidRDefault="002A3D95" w:rsidP="002A3D95">
      <w:pPr>
        <w:pStyle w:val="a0"/>
        <w:numPr>
          <w:ilvl w:val="0"/>
          <w:numId w:val="0"/>
        </w:numPr>
        <w:spacing w:before="0" w:after="0" w:line="360" w:lineRule="auto"/>
        <w:ind w:firstLine="709"/>
        <w:jc w:val="both"/>
        <w:rPr>
          <w:rFonts w:ascii="Verdana" w:hAnsi="Verdana"/>
          <w:b w:val="0"/>
          <w:sz w:val="20"/>
          <w:szCs w:val="20"/>
        </w:rPr>
      </w:pPr>
      <w:r w:rsidRPr="00BE536E">
        <w:rPr>
          <w:rFonts w:ascii="Verdana" w:hAnsi="Verdana"/>
          <w:sz w:val="20"/>
          <w:szCs w:val="20"/>
        </w:rPr>
        <w:t>Раздел 1.  Стандартные активы (без признаков обесценения)</w:t>
      </w:r>
    </w:p>
    <w:p w14:paraId="74197459" w14:textId="77777777" w:rsidR="002A3D95" w:rsidRPr="00BE536E" w:rsidRDefault="002A3D95" w:rsidP="00D05311">
      <w:pPr>
        <w:numPr>
          <w:ilvl w:val="1"/>
          <w:numId w:val="52"/>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операционной задолженности видов, указанных в настоящих Правилах определения СЧА, дисконтирование не проводится, при соблюдении требований для признания задолженности в качестве операционной. </w:t>
      </w:r>
    </w:p>
    <w:p w14:paraId="0F915F30" w14:textId="77777777" w:rsidR="002A3D95" w:rsidRPr="00BE536E" w:rsidRDefault="002A3D95" w:rsidP="00D05311">
      <w:pPr>
        <w:numPr>
          <w:ilvl w:val="1"/>
          <w:numId w:val="52"/>
        </w:numPr>
        <w:spacing w:after="0" w:line="360" w:lineRule="auto"/>
        <w:jc w:val="both"/>
        <w:rPr>
          <w:rFonts w:ascii="Verdana" w:hAnsi="Verdana"/>
          <w:sz w:val="20"/>
          <w:szCs w:val="20"/>
        </w:rPr>
      </w:pPr>
      <w:r w:rsidRPr="00BE536E">
        <w:rPr>
          <w:rFonts w:ascii="Verdana" w:hAnsi="Verdana"/>
          <w:sz w:val="20"/>
          <w:szCs w:val="20"/>
        </w:rPr>
        <w:t xml:space="preserve">Оценка активов без признаков обесценения, справедливая стоимость которых определяется по методу приведенной стоимости будущих денежных потоков (за исключением депозитов, порядок определения справедливой стоимости которых установлен в Приложении </w:t>
      </w:r>
      <w:r w:rsidR="006700EB" w:rsidRPr="00BE536E">
        <w:rPr>
          <w:rFonts w:ascii="Verdana" w:hAnsi="Verdana"/>
          <w:sz w:val="20"/>
          <w:szCs w:val="20"/>
        </w:rPr>
        <w:t xml:space="preserve">4 </w:t>
      </w:r>
      <w:r w:rsidRPr="00BE536E">
        <w:rPr>
          <w:rFonts w:ascii="Verdana" w:hAnsi="Verdana"/>
          <w:sz w:val="20"/>
          <w:szCs w:val="20"/>
        </w:rPr>
        <w:t>настоящих Правил определения СЧА) рассчитывается следующим образом:</w:t>
      </w:r>
    </w:p>
    <w:p w14:paraId="56FD7ACB" w14:textId="77777777" w:rsidR="002A3D95" w:rsidRPr="00BE536E" w:rsidRDefault="002A3D95" w:rsidP="002A3D95">
      <w:pPr>
        <w:spacing w:line="360" w:lineRule="auto"/>
        <w:ind w:firstLine="709"/>
        <w:rPr>
          <w:rFonts w:ascii="Verdana" w:hAnsi="Verdana"/>
          <w:b/>
          <w:sz w:val="20"/>
          <w:szCs w:val="20"/>
        </w:rPr>
      </w:pPr>
    </w:p>
    <w:p w14:paraId="555CAD17" w14:textId="77777777" w:rsidR="002A3D95" w:rsidRPr="00BE536E" w:rsidRDefault="002A3D95" w:rsidP="002A3D95">
      <w:pPr>
        <w:spacing w:line="360" w:lineRule="auto"/>
        <w:ind w:firstLine="709"/>
        <w:rPr>
          <w:rFonts w:ascii="Verdana" w:hAnsi="Verdana"/>
          <w:sz w:val="20"/>
          <w:szCs w:val="20"/>
        </w:rPr>
      </w:pPr>
      <w:r w:rsidRPr="00BE536E">
        <w:rPr>
          <w:rFonts w:ascii="Verdana" w:hAnsi="Verdana"/>
          <w:b/>
          <w:sz w:val="20"/>
          <w:szCs w:val="20"/>
        </w:rPr>
        <w:t>Формула 2</w:t>
      </w:r>
      <w:r w:rsidRPr="00BE536E">
        <w:rPr>
          <w:rFonts w:ascii="Verdana" w:hAnsi="Verdana"/>
          <w:sz w:val="20"/>
          <w:szCs w:val="20"/>
        </w:rPr>
        <w:t>:</w:t>
      </w:r>
    </w:p>
    <w:p w14:paraId="5F69220C" w14:textId="77777777" w:rsidR="002A3D95" w:rsidRPr="00BE536E" w:rsidRDefault="002A3D95" w:rsidP="002A3D95">
      <w:pPr>
        <w:spacing w:after="0" w:line="360" w:lineRule="auto"/>
        <w:ind w:firstLine="709"/>
        <w:jc w:val="center"/>
        <w:rPr>
          <w:rFonts w:ascii="Times New Roman" w:hAnsi="Times New Roman"/>
          <w:i/>
          <w:sz w:val="20"/>
          <w:szCs w:val="20"/>
        </w:rPr>
      </w:pPr>
      <m:oMath>
        <m:r>
          <w:rPr>
            <w:rFonts w:ascii="Cambria Math" w:eastAsia="Batang" w:hAnsi="Cambria Math"/>
            <w:sz w:val="20"/>
            <w:szCs w:val="20"/>
          </w:rPr>
          <m:t>PV=</m:t>
        </m:r>
        <m:nary>
          <m:naryPr>
            <m:chr m:val="∑"/>
            <m:limLoc m:val="undOvr"/>
            <m:ctrlPr>
              <w:rPr>
                <w:rFonts w:ascii="Cambria Math" w:eastAsia="Batang" w:hAnsi="Cambria Math"/>
                <w:i/>
                <w:sz w:val="20"/>
                <w:szCs w:val="20"/>
              </w:rPr>
            </m:ctrlPr>
          </m:naryPr>
          <m:sub>
            <m:r>
              <w:rPr>
                <w:rFonts w:ascii="Cambria Math" w:eastAsia="Batang" w:hAnsi="Cambria Math"/>
                <w:sz w:val="20"/>
                <w:szCs w:val="20"/>
              </w:rPr>
              <m:t>n=1</m:t>
            </m:r>
          </m:sub>
          <m:sup>
            <m:r>
              <w:rPr>
                <w:rFonts w:ascii="Cambria Math" w:eastAsia="Batang" w:hAnsi="Cambria Math"/>
                <w:sz w:val="20"/>
                <w:szCs w:val="20"/>
              </w:rPr>
              <m:t>N</m:t>
            </m:r>
          </m:sup>
          <m:e>
            <m:f>
              <m:fPr>
                <m:ctrlPr>
                  <w:rPr>
                    <w:rFonts w:ascii="Cambria Math" w:eastAsia="Batang" w:hAnsi="Cambria Math"/>
                    <w:i/>
                    <w:sz w:val="20"/>
                    <w:szCs w:val="20"/>
                  </w:rPr>
                </m:ctrlPr>
              </m:fPr>
              <m:num>
                <m:sSub>
                  <m:sSubPr>
                    <m:ctrlPr>
                      <w:rPr>
                        <w:rFonts w:ascii="Cambria Math" w:eastAsia="Batang" w:hAnsi="Cambria Math"/>
                        <w:i/>
                        <w:sz w:val="20"/>
                        <w:szCs w:val="20"/>
                      </w:rPr>
                    </m:ctrlPr>
                  </m:sSubPr>
                  <m:e>
                    <m:r>
                      <w:rPr>
                        <w:rFonts w:ascii="Cambria Math" w:eastAsia="Batang" w:hAnsi="Cambria Math"/>
                        <w:sz w:val="20"/>
                        <w:szCs w:val="20"/>
                      </w:rPr>
                      <m:t>P</m:t>
                    </m:r>
                  </m:e>
                  <m:sub>
                    <m:r>
                      <w:rPr>
                        <w:rFonts w:ascii="Cambria Math" w:eastAsia="Batang" w:hAnsi="Cambria Math"/>
                        <w:sz w:val="20"/>
                        <w:szCs w:val="20"/>
                      </w:rPr>
                      <m:t>n</m:t>
                    </m:r>
                  </m:sub>
                </m:sSub>
              </m:num>
              <m:den>
                <m:sSup>
                  <m:sSupPr>
                    <m:ctrlPr>
                      <w:rPr>
                        <w:rFonts w:ascii="Cambria Math" w:eastAsia="Batang" w:hAnsi="Cambria Math"/>
                        <w:i/>
                        <w:sz w:val="20"/>
                        <w:szCs w:val="20"/>
                      </w:rPr>
                    </m:ctrlPr>
                  </m:sSupPr>
                  <m:e>
                    <m:d>
                      <m:dPr>
                        <m:ctrlPr>
                          <w:rPr>
                            <w:rFonts w:ascii="Cambria Math" w:eastAsia="Batang" w:hAnsi="Cambria Math"/>
                            <w:i/>
                            <w:sz w:val="20"/>
                            <w:szCs w:val="20"/>
                          </w:rPr>
                        </m:ctrlPr>
                      </m:dPr>
                      <m:e>
                        <m:r>
                          <w:rPr>
                            <w:rFonts w:ascii="Cambria Math" w:eastAsia="Batang" w:hAnsi="Cambria Math" w:hint="eastAsia"/>
                            <w:sz w:val="20"/>
                            <w:szCs w:val="20"/>
                          </w:rPr>
                          <m:t>1+</m:t>
                        </m:r>
                        <m:r>
                          <w:rPr>
                            <w:rFonts w:ascii="Cambria Math" w:eastAsia="Batang" w:hAnsi="Cambria Math"/>
                            <w:sz w:val="20"/>
                            <w:szCs w:val="20"/>
                            <w:lang w:val="en-US"/>
                          </w:rPr>
                          <m:t>R</m:t>
                        </m:r>
                        <m:r>
                          <w:rPr>
                            <w:rFonts w:ascii="Cambria Math" w:eastAsia="Batang" w:hAnsi="Cambria Math" w:hint="eastAsia"/>
                            <w:sz w:val="20"/>
                            <w:szCs w:val="20"/>
                          </w:rPr>
                          <m:t>(</m:t>
                        </m:r>
                        <m:r>
                          <w:rPr>
                            <w:rFonts w:ascii="Cambria Math" w:eastAsia="Batang" w:hAnsi="Cambria Math"/>
                            <w:sz w:val="20"/>
                            <w:szCs w:val="20"/>
                            <w:lang w:val="en-US"/>
                          </w:rPr>
                          <m:t>T</m:t>
                        </m:r>
                        <m:d>
                          <m:dPr>
                            <m:ctrlPr>
                              <w:rPr>
                                <w:rFonts w:ascii="Cambria Math" w:eastAsia="Batang" w:hAnsi="Cambria Math"/>
                                <w:i/>
                                <w:sz w:val="20"/>
                                <w:szCs w:val="20"/>
                                <w:lang w:val="en-US"/>
                              </w:rPr>
                            </m:ctrlPr>
                          </m:dPr>
                          <m:e>
                            <m:r>
                              <w:rPr>
                                <w:rFonts w:ascii="Cambria Math" w:eastAsia="Batang" w:hAnsi="Cambria Math"/>
                                <w:sz w:val="20"/>
                                <w:szCs w:val="20"/>
                                <w:lang w:val="en-US"/>
                              </w:rPr>
                              <m:t>n</m:t>
                            </m:r>
                          </m:e>
                        </m:d>
                        <m:r>
                          <w:rPr>
                            <w:rFonts w:ascii="Cambria Math" w:eastAsia="Batang" w:hAnsi="Cambria Math" w:hint="eastAsia"/>
                            <w:sz w:val="20"/>
                            <w:szCs w:val="20"/>
                          </w:rPr>
                          <m:t>)</m:t>
                        </m:r>
                        <m:ctrlPr>
                          <w:rPr>
                            <w:rFonts w:ascii="Cambria Math" w:eastAsia="Batang" w:hAnsi="Cambria Math"/>
                            <w:i/>
                            <w:sz w:val="20"/>
                            <w:szCs w:val="20"/>
                            <w:lang w:val="en-US"/>
                          </w:rPr>
                        </m:ctrlPr>
                      </m:e>
                    </m:d>
                  </m:e>
                  <m:sup>
                    <m:f>
                      <m:fPr>
                        <m:type m:val="lin"/>
                        <m:ctrlPr>
                          <w:rPr>
                            <w:rFonts w:ascii="Cambria Math" w:eastAsia="Batang" w:hAnsi="Cambria Math"/>
                            <w:i/>
                            <w:sz w:val="20"/>
                            <w:szCs w:val="20"/>
                          </w:rPr>
                        </m:ctrlPr>
                      </m:fPr>
                      <m:num>
                        <m:sSub>
                          <m:sSubPr>
                            <m:ctrlPr>
                              <w:rPr>
                                <w:rFonts w:ascii="Cambria Math" w:eastAsia="Batang" w:hAnsi="Cambria Math"/>
                                <w:i/>
                                <w:sz w:val="20"/>
                                <w:szCs w:val="20"/>
                              </w:rPr>
                            </m:ctrlPr>
                          </m:sSubPr>
                          <m:e>
                            <m:r>
                              <w:rPr>
                                <w:rFonts w:ascii="Cambria Math" w:eastAsia="Batang" w:hAnsi="Cambria Math"/>
                                <w:sz w:val="20"/>
                                <w:szCs w:val="20"/>
                              </w:rPr>
                              <m:t>T(</m:t>
                            </m:r>
                          </m:e>
                          <m:sub>
                            <m:r>
                              <w:rPr>
                                <w:rFonts w:ascii="Cambria Math" w:eastAsia="Batang" w:hAnsi="Cambria Math"/>
                                <w:sz w:val="20"/>
                                <w:szCs w:val="20"/>
                              </w:rPr>
                              <m:t>n)</m:t>
                            </m:r>
                          </m:sub>
                        </m:sSub>
                      </m:num>
                      <m:den>
                        <m:r>
                          <w:rPr>
                            <w:rFonts w:ascii="Cambria Math" w:eastAsia="Batang" w:hAnsi="Cambria Math" w:hint="eastAsia"/>
                            <w:sz w:val="20"/>
                            <w:szCs w:val="20"/>
                          </w:rPr>
                          <m:t>365</m:t>
                        </m:r>
                      </m:den>
                    </m:f>
                  </m:sup>
                </m:sSup>
              </m:den>
            </m:f>
            <m:r>
              <w:rPr>
                <w:rFonts w:ascii="Cambria Math" w:eastAsia="Batang" w:hAnsi="Cambria Math"/>
                <w:sz w:val="20"/>
                <w:szCs w:val="20"/>
              </w:rPr>
              <m:t>(1-</m:t>
            </m:r>
            <m:r>
              <w:rPr>
                <w:rFonts w:ascii="Cambria Math" w:eastAsia="Batang" w:hAnsi="Cambria Math"/>
                <w:sz w:val="20"/>
                <w:szCs w:val="20"/>
                <w:lang w:val="en-US"/>
              </w:rPr>
              <m:t>LGD</m:t>
            </m:r>
            <m:r>
              <w:rPr>
                <w:rFonts w:ascii="Cambria Math" w:eastAsia="Batang" w:hAnsi="Cambria Math"/>
                <w:sz w:val="20"/>
                <w:szCs w:val="20"/>
              </w:rPr>
              <m:t>*PD</m:t>
            </m:r>
            <m:d>
              <m:dPr>
                <m:ctrlPr>
                  <w:rPr>
                    <w:rFonts w:ascii="Cambria Math" w:eastAsia="Batang" w:hAnsi="Cambria Math"/>
                    <w:i/>
                    <w:sz w:val="20"/>
                    <w:szCs w:val="20"/>
                  </w:rPr>
                </m:ctrlPr>
              </m:dPr>
              <m:e>
                <m:r>
                  <w:rPr>
                    <w:rFonts w:ascii="Cambria Math" w:eastAsia="Batang" w:hAnsi="Cambria Math"/>
                    <w:sz w:val="20"/>
                    <w:szCs w:val="20"/>
                  </w:rPr>
                  <m:t>Tn</m:t>
                </m:r>
              </m:e>
            </m:d>
            <m:r>
              <w:rPr>
                <w:rFonts w:ascii="Cambria Math" w:eastAsia="Batang" w:hAnsi="Cambria Math" w:hint="eastAsia"/>
                <w:sz w:val="20"/>
                <w:szCs w:val="20"/>
              </w:rPr>
              <m:t xml:space="preserve">) </m:t>
            </m:r>
          </m:e>
        </m:nary>
      </m:oMath>
      <w:r w:rsidRPr="00BE536E">
        <w:rPr>
          <w:rFonts w:ascii="Times New Roman" w:hAnsi="Times New Roman"/>
          <w:i/>
          <w:sz w:val="20"/>
          <w:szCs w:val="20"/>
        </w:rPr>
        <w:t>,</w:t>
      </w:r>
    </w:p>
    <w:p w14:paraId="5F4C0644" w14:textId="77777777" w:rsidR="002A3D95" w:rsidRPr="00BE536E" w:rsidRDefault="002A3D95" w:rsidP="002A3D95">
      <w:pPr>
        <w:spacing w:line="360" w:lineRule="auto"/>
        <w:ind w:firstLine="709"/>
        <w:rPr>
          <w:rFonts w:ascii="Verdana" w:hAnsi="Verdana"/>
          <w:i/>
          <w:sz w:val="20"/>
          <w:szCs w:val="20"/>
        </w:rPr>
      </w:pPr>
      <w:r w:rsidRPr="00BE536E">
        <w:rPr>
          <w:rFonts w:ascii="Verdana" w:hAnsi="Verdana"/>
          <w:i/>
          <w:sz w:val="20"/>
          <w:szCs w:val="20"/>
        </w:rPr>
        <w:t>где</w:t>
      </w:r>
    </w:p>
    <w:p w14:paraId="02994BBA" w14:textId="77777777" w:rsidR="002A3D95" w:rsidRPr="00BE536E" w:rsidRDefault="002A3D95" w:rsidP="002A3D95">
      <w:pPr>
        <w:tabs>
          <w:tab w:val="left" w:pos="993"/>
        </w:tabs>
        <w:spacing w:line="360" w:lineRule="auto"/>
        <w:ind w:firstLine="709"/>
        <w:jc w:val="both"/>
        <w:rPr>
          <w:rFonts w:ascii="Verdana" w:eastAsia="Batang" w:hAnsi="Verdana"/>
          <w:sz w:val="20"/>
        </w:rPr>
      </w:pPr>
      <m:oMath>
        <m:r>
          <w:rPr>
            <w:rFonts w:ascii="Cambria Math" w:eastAsia="Batang" w:hAnsi="Cambria Math"/>
            <w:sz w:val="20"/>
          </w:rPr>
          <m:t xml:space="preserve">PV </m:t>
        </m:r>
      </m:oMath>
      <w:r w:rsidRPr="00BE536E">
        <w:rPr>
          <w:rFonts w:ascii="Verdana" w:eastAsia="Batang" w:hAnsi="Verdana"/>
          <w:sz w:val="20"/>
        </w:rPr>
        <w:t>– справедливая стоимость актива;</w:t>
      </w:r>
    </w:p>
    <w:p w14:paraId="4DFADD0F"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rPr>
        <w:lastRenderedPageBreak/>
        <w:t>N - количество денежных потоков до даты погашения актива, начиная с даты определения СЧА;</w:t>
      </w:r>
    </w:p>
    <w:p w14:paraId="2BFF7506" w14:textId="77777777" w:rsidR="002A3D95" w:rsidRPr="00BE536E" w:rsidRDefault="00A3154D" w:rsidP="002A3D95">
      <w:pPr>
        <w:tabs>
          <w:tab w:val="left" w:pos="993"/>
        </w:tabs>
        <w:spacing w:line="360" w:lineRule="auto"/>
        <w:ind w:firstLine="709"/>
        <w:jc w:val="both"/>
        <w:rPr>
          <w:rFonts w:ascii="Verdana" w:eastAsia="Batang" w:hAnsi="Verdana"/>
          <w:sz w:val="20"/>
        </w:rPr>
      </w:pPr>
      <m:oMath>
        <m:sSub>
          <m:sSubPr>
            <m:ctrlPr>
              <w:rPr>
                <w:rFonts w:ascii="Cambria Math" w:eastAsia="Batang" w:hAnsi="Cambria Math"/>
                <w:i/>
                <w:sz w:val="20"/>
              </w:rPr>
            </m:ctrlPr>
          </m:sSubPr>
          <m:e>
            <m:r>
              <w:rPr>
                <w:rFonts w:ascii="Cambria Math" w:eastAsia="Batang" w:hAnsi="Cambria Math"/>
                <w:sz w:val="20"/>
              </w:rPr>
              <m:t>P</m:t>
            </m:r>
          </m:e>
          <m:sub>
            <m:r>
              <w:rPr>
                <w:rFonts w:ascii="Cambria Math" w:eastAsia="Batang" w:hAnsi="Cambria Math"/>
                <w:sz w:val="20"/>
              </w:rPr>
              <m:t>n</m:t>
            </m:r>
          </m:sub>
        </m:sSub>
      </m:oMath>
      <w:r w:rsidR="002A3D95" w:rsidRPr="00BE536E">
        <w:rPr>
          <w:rFonts w:ascii="Verdana" w:eastAsia="Batang" w:hAnsi="Verdana"/>
          <w:sz w:val="20"/>
        </w:rPr>
        <w:t xml:space="preserve"> - сумма n-ого денежного потока (проценты и основная сумма); </w:t>
      </w:r>
    </w:p>
    <w:p w14:paraId="0239393B"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rPr>
        <w:t>n - порядковый номер денежного потока, начиная с даты определения СЧА;</w:t>
      </w:r>
    </w:p>
    <w:p w14:paraId="68553BF0"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lang w:val="en-US"/>
        </w:rPr>
        <w:t>R</w:t>
      </w:r>
      <w:r w:rsidRPr="00BE536E">
        <w:rPr>
          <w:rFonts w:ascii="Verdana" w:eastAsia="Batang" w:hAnsi="Verdana"/>
          <w:sz w:val="20"/>
        </w:rPr>
        <w:t>(</w:t>
      </w:r>
      <w:r w:rsidRPr="00BE536E">
        <w:rPr>
          <w:rFonts w:ascii="Verdana" w:eastAsia="Batang" w:hAnsi="Verdana"/>
          <w:sz w:val="20"/>
          <w:lang w:val="en-US"/>
        </w:rPr>
        <w:t>T</w:t>
      </w:r>
      <w:r w:rsidRPr="00BE536E">
        <w:rPr>
          <w:rFonts w:ascii="Verdana" w:eastAsia="Batang" w:hAnsi="Verdana"/>
          <w:sz w:val="20"/>
        </w:rPr>
        <w:t>(</w:t>
      </w:r>
      <w:r w:rsidRPr="00BE536E">
        <w:rPr>
          <w:rFonts w:ascii="Verdana" w:eastAsia="Batang" w:hAnsi="Verdana"/>
          <w:sz w:val="20"/>
          <w:lang w:val="en-US"/>
        </w:rPr>
        <w:t>n</w:t>
      </w:r>
      <w:r w:rsidRPr="00BE536E">
        <w:rPr>
          <w:rFonts w:ascii="Verdana" w:eastAsia="Batang" w:hAnsi="Verdana"/>
          <w:sz w:val="20"/>
        </w:rPr>
        <w:t xml:space="preserve">)) – безрисковая ставка на сроке </w:t>
      </w:r>
      <w:r w:rsidRPr="00BE536E">
        <w:rPr>
          <w:rFonts w:ascii="Cambria Math" w:eastAsia="Batang" w:hAnsi="Cambria Math" w:cs="Cambria Math"/>
          <w:sz w:val="20"/>
        </w:rPr>
        <w:t>𝑇</w:t>
      </w:r>
      <w:r w:rsidRPr="00BE536E">
        <w:rPr>
          <w:rFonts w:ascii="Verdana" w:eastAsia="Batang" w:hAnsi="Verdana"/>
          <w:sz w:val="20"/>
        </w:rPr>
        <w:t>(</w:t>
      </w:r>
      <w:r w:rsidRPr="00BE536E">
        <w:rPr>
          <w:rFonts w:ascii="Cambria Math" w:eastAsia="Batang" w:hAnsi="Cambria Math" w:cs="Cambria Math"/>
          <w:sz w:val="20"/>
        </w:rPr>
        <w:t>𝑛</w:t>
      </w:r>
      <w:r w:rsidRPr="00BE536E">
        <w:rPr>
          <w:rFonts w:ascii="Verdana" w:eastAsia="Batang" w:hAnsi="Verdana"/>
          <w:sz w:val="20"/>
        </w:rPr>
        <w:t>), определяемая в соответствии с порядком, установленным в разделе «Общие положения»;</w:t>
      </w:r>
    </w:p>
    <w:p w14:paraId="28E9462D"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lang w:val="en-US"/>
        </w:rPr>
        <w:t>T</w:t>
      </w:r>
      <w:r w:rsidRPr="00BE536E">
        <w:rPr>
          <w:rFonts w:ascii="Verdana" w:eastAsia="Batang" w:hAnsi="Verdana"/>
          <w:sz w:val="20"/>
        </w:rPr>
        <w:t>(</w:t>
      </w:r>
      <w:r w:rsidRPr="00BE536E">
        <w:rPr>
          <w:rFonts w:ascii="Verdana" w:eastAsia="Batang" w:hAnsi="Verdana"/>
          <w:sz w:val="20"/>
          <w:lang w:val="en-US"/>
        </w:rPr>
        <w:t>n</w:t>
      </w:r>
      <w:r w:rsidRPr="00BE536E">
        <w:rPr>
          <w:rFonts w:ascii="Verdana" w:eastAsia="Batang" w:hAnsi="Verdana"/>
          <w:sz w:val="20"/>
        </w:rPr>
        <w:t>)- количество дней от даты определения СЧА до даты n-ого денежного потока;</w:t>
      </w:r>
    </w:p>
    <w:p w14:paraId="1835EA9E" w14:textId="77777777" w:rsidR="002A3D95" w:rsidRPr="00BE536E" w:rsidRDefault="002A3D95" w:rsidP="002A3D95">
      <w:pPr>
        <w:autoSpaceDE w:val="0"/>
        <w:autoSpaceDN w:val="0"/>
        <w:spacing w:after="0" w:line="360" w:lineRule="auto"/>
        <w:ind w:firstLine="709"/>
        <w:jc w:val="both"/>
        <w:rPr>
          <w:rFonts w:ascii="Verdana" w:eastAsia="Batang" w:hAnsi="Verdana"/>
          <w:sz w:val="20"/>
          <w:szCs w:val="20"/>
        </w:rPr>
      </w:pPr>
      <w:r w:rsidRPr="00BE536E">
        <w:rPr>
          <w:rFonts w:ascii="Verdana" w:eastAsia="Batang" w:hAnsi="Verdana"/>
          <w:sz w:val="20"/>
          <w:szCs w:val="20"/>
        </w:rPr>
        <w:t>P</w:t>
      </w:r>
      <w:r w:rsidRPr="00BE536E">
        <w:rPr>
          <w:rFonts w:ascii="Verdana" w:eastAsia="Batang" w:hAnsi="Verdana"/>
          <w:sz w:val="20"/>
          <w:szCs w:val="20"/>
          <w:lang w:val="en-US"/>
        </w:rPr>
        <w:t>D</w:t>
      </w:r>
      <w:r w:rsidRPr="00BE536E">
        <w:rPr>
          <w:rFonts w:ascii="Verdana" w:eastAsia="Batang" w:hAnsi="Verdana"/>
          <w:sz w:val="20"/>
          <w:szCs w:val="20"/>
        </w:rPr>
        <w:t>(</w:t>
      </w:r>
      <w:r w:rsidRPr="00BE536E">
        <w:rPr>
          <w:rFonts w:ascii="Verdana" w:eastAsia="Batang" w:hAnsi="Verdana"/>
          <w:sz w:val="20"/>
          <w:szCs w:val="20"/>
          <w:lang w:val="en-US"/>
        </w:rPr>
        <w:t>Tn</w:t>
      </w:r>
      <w:r w:rsidRPr="00BE536E">
        <w:rPr>
          <w:rFonts w:ascii="Verdana" w:eastAsia="Batang" w:hAnsi="Verdana"/>
          <w:sz w:val="20"/>
          <w:szCs w:val="20"/>
        </w:rPr>
        <w:t xml:space="preserve">) (Probability of Default, вероятность дефолта) – вероятность, с которой контрагент в течение  </w:t>
      </w:r>
      <w:r w:rsidRPr="00BE536E">
        <w:rPr>
          <w:rFonts w:ascii="Verdana" w:eastAsia="Batang" w:hAnsi="Verdana"/>
          <w:sz w:val="20"/>
          <w:szCs w:val="20"/>
          <w:lang w:val="en-US"/>
        </w:rPr>
        <w:t>T</w:t>
      </w:r>
      <w:r w:rsidRPr="00BE536E">
        <w:rPr>
          <w:rFonts w:ascii="Verdana" w:eastAsia="Batang" w:hAnsi="Verdana"/>
          <w:sz w:val="20"/>
          <w:szCs w:val="20"/>
        </w:rPr>
        <w:t>(</w:t>
      </w:r>
      <w:r w:rsidRPr="00BE536E">
        <w:rPr>
          <w:rFonts w:ascii="Verdana" w:eastAsia="Batang" w:hAnsi="Verdana"/>
          <w:sz w:val="20"/>
          <w:szCs w:val="20"/>
          <w:lang w:val="en-US"/>
        </w:rPr>
        <w:t>n</w:t>
      </w:r>
      <w:r w:rsidRPr="00BE536E">
        <w:rPr>
          <w:rFonts w:ascii="Verdana" w:eastAsia="Batang" w:hAnsi="Verdana"/>
          <w:sz w:val="20"/>
          <w:szCs w:val="20"/>
        </w:rPr>
        <w:t xml:space="preserve">) дней может оказаться в состоянии дефолта. Вероятность дефолта </w:t>
      </w:r>
      <w:r w:rsidRPr="00BE536E">
        <w:rPr>
          <w:rFonts w:ascii="Verdana" w:eastAsia="Batang" w:hAnsi="Verdana"/>
          <w:sz w:val="20"/>
          <w:szCs w:val="20"/>
          <w:lang w:val="en-US"/>
        </w:rPr>
        <w:t>PD</w:t>
      </w:r>
      <w:r w:rsidRPr="00BE536E">
        <w:rPr>
          <w:rFonts w:ascii="Verdana" w:eastAsia="Batang" w:hAnsi="Verdana"/>
          <w:sz w:val="20"/>
          <w:szCs w:val="20"/>
        </w:rPr>
        <w:t>(</w:t>
      </w:r>
      <w:r w:rsidRPr="00BE536E">
        <w:rPr>
          <w:rFonts w:ascii="Verdana" w:eastAsia="Batang" w:hAnsi="Verdana"/>
          <w:sz w:val="20"/>
          <w:szCs w:val="20"/>
          <w:lang w:val="en-US"/>
        </w:rPr>
        <w:t>T</w:t>
      </w:r>
      <w:r w:rsidRPr="00BE536E">
        <w:rPr>
          <w:rFonts w:ascii="Verdana" w:eastAsia="Batang" w:hAnsi="Verdana"/>
          <w:sz w:val="20"/>
          <w:szCs w:val="20"/>
        </w:rPr>
        <w:t>(</w:t>
      </w:r>
      <w:r w:rsidRPr="00BE536E">
        <w:rPr>
          <w:rFonts w:ascii="Verdana" w:eastAsia="Batang" w:hAnsi="Verdana"/>
          <w:sz w:val="20"/>
          <w:szCs w:val="20"/>
          <w:lang w:val="en-US"/>
        </w:rPr>
        <w:t>n</w:t>
      </w:r>
      <w:r w:rsidRPr="00BE536E">
        <w:rPr>
          <w:rFonts w:ascii="Verdana" w:eastAsia="Batang" w:hAnsi="Verdana"/>
          <w:sz w:val="20"/>
          <w:szCs w:val="20"/>
        </w:rPr>
        <w:t>)) определяется с учетом положений, установленных в разделе 4 настоящего Приложения.</w:t>
      </w:r>
    </w:p>
    <w:p w14:paraId="677660B3" w14:textId="77777777" w:rsidR="002A3D95" w:rsidRPr="00BE536E" w:rsidRDefault="002A3D95" w:rsidP="002A3D95">
      <w:pPr>
        <w:autoSpaceDE w:val="0"/>
        <w:autoSpaceDN w:val="0"/>
        <w:spacing w:after="0" w:line="360" w:lineRule="auto"/>
        <w:ind w:firstLine="709"/>
        <w:jc w:val="both"/>
        <w:rPr>
          <w:rFonts w:ascii="Verdana" w:eastAsia="Batang" w:hAnsi="Verdana"/>
          <w:sz w:val="20"/>
          <w:szCs w:val="20"/>
        </w:rPr>
      </w:pPr>
      <w:r w:rsidRPr="00BE536E">
        <w:rPr>
          <w:rFonts w:ascii="Verdana" w:eastAsia="Batang" w:hAnsi="Verdana"/>
          <w:sz w:val="20"/>
          <w:szCs w:val="20"/>
        </w:rPr>
        <w:t xml:space="preserve">LGD (Loss Given Default, потери при дефолте) – доля от суммы, подверженной кредитному риску, которая может быть потеряна в случае дефолта контрагента; определяется в соответствии с порядком, установленным в разделе 5 настоящего Приложения. </w:t>
      </w:r>
    </w:p>
    <w:p w14:paraId="4368A0CC"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eastAsia="Batang" w:hAnsi="Verdana"/>
          <w:sz w:val="20"/>
          <w:szCs w:val="20"/>
        </w:rPr>
        <w:t>Промежуточные значения расчета приведенной стоимости для каждого денежного потока, скорректированные на величину кредитного риска не округляются.</w:t>
      </w:r>
    </w:p>
    <w:p w14:paraId="1FED8FEC" w14:textId="77777777" w:rsidR="002A3D95" w:rsidRPr="00BE536E" w:rsidRDefault="002A3D95" w:rsidP="00D05311">
      <w:pPr>
        <w:numPr>
          <w:ilvl w:val="1"/>
          <w:numId w:val="52"/>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w:t>
      </w:r>
      <w:r w:rsidRPr="00BE536E">
        <w:rPr>
          <w:rFonts w:ascii="Verdana" w:hAnsi="Verdana"/>
          <w:sz w:val="20"/>
          <w:szCs w:val="20"/>
          <w:lang w:val="en-US"/>
        </w:rPr>
        <w:t>PD</w:t>
      </w:r>
      <w:r w:rsidRPr="00BE536E">
        <w:rPr>
          <w:rFonts w:ascii="Verdana" w:hAnsi="Verdana"/>
          <w:sz w:val="20"/>
          <w:szCs w:val="20"/>
        </w:rPr>
        <w:t>(</w:t>
      </w:r>
      <w:r w:rsidRPr="00BE536E">
        <w:rPr>
          <w:rFonts w:ascii="Verdana" w:hAnsi="Verdana"/>
          <w:sz w:val="20"/>
          <w:szCs w:val="20"/>
          <w:lang w:val="en-US"/>
        </w:rPr>
        <w:t>T</w:t>
      </w:r>
      <w:r w:rsidRPr="00BE536E">
        <w:rPr>
          <w:rFonts w:ascii="Verdana" w:hAnsi="Verdana"/>
          <w:sz w:val="20"/>
          <w:szCs w:val="20"/>
        </w:rPr>
        <w:t>(</w:t>
      </w:r>
      <w:r w:rsidRPr="00BE536E">
        <w:rPr>
          <w:rFonts w:ascii="Verdana" w:hAnsi="Verdana"/>
          <w:sz w:val="20"/>
          <w:szCs w:val="20"/>
          <w:lang w:val="en-US"/>
        </w:rPr>
        <w:t>n</w:t>
      </w:r>
      <w:r w:rsidRPr="00BE536E">
        <w:rPr>
          <w:rFonts w:ascii="Verdana" w:hAnsi="Verdana"/>
          <w:sz w:val="20"/>
          <w:szCs w:val="20"/>
        </w:rPr>
        <w:t>))*</w:t>
      </w:r>
      <w:r w:rsidRPr="00BE536E">
        <w:rPr>
          <w:rFonts w:ascii="Verdana" w:hAnsi="Verdana"/>
          <w:sz w:val="20"/>
          <w:szCs w:val="20"/>
          <w:lang w:val="en-US"/>
        </w:rPr>
        <w:t>LGD</w:t>
      </w:r>
      <w:r w:rsidRPr="00BE536E">
        <w:rPr>
          <w:rFonts w:ascii="Verdana" w:hAnsi="Verdana"/>
          <w:sz w:val="20"/>
          <w:szCs w:val="20"/>
        </w:rPr>
        <w:t xml:space="preserve"> заменяется на </w:t>
      </w:r>
      <w:r w:rsidRPr="00BE536E">
        <w:rPr>
          <w:rFonts w:ascii="Verdana" w:hAnsi="Verdana"/>
          <w:sz w:val="20"/>
          <w:szCs w:val="20"/>
          <w:lang w:val="en-US"/>
        </w:rPr>
        <w:t>CoR</w:t>
      </w:r>
      <w:r w:rsidRPr="00BE536E">
        <w:rPr>
          <w:rFonts w:ascii="Verdana" w:hAnsi="Verdana"/>
          <w:sz w:val="20"/>
          <w:szCs w:val="20"/>
        </w:rPr>
        <w:t xml:space="preserve">. </w:t>
      </w:r>
      <w:r w:rsidRPr="00BE536E">
        <w:rPr>
          <w:rFonts w:ascii="Verdana" w:hAnsi="Verdana"/>
          <w:sz w:val="20"/>
          <w:szCs w:val="20"/>
          <w:lang w:val="en-US"/>
        </w:rPr>
        <w:t>CoR</w:t>
      </w:r>
      <w:r w:rsidRPr="00BE536E">
        <w:rPr>
          <w:rFonts w:ascii="Verdana" w:eastAsia="Batang" w:hAnsi="Verdana"/>
          <w:sz w:val="20"/>
          <w:szCs w:val="20"/>
        </w:rPr>
        <w:t xml:space="preserve"> </w:t>
      </w:r>
      <w:r w:rsidRPr="00BE536E">
        <w:rPr>
          <w:rFonts w:ascii="Verdana" w:hAnsi="Verdana"/>
          <w:sz w:val="20"/>
          <w:szCs w:val="20"/>
        </w:rPr>
        <w:t xml:space="preserve">определяется в соответствии с порядком, установленным в разделе 6. Для оценки стандартных активов используется значение </w:t>
      </w:r>
      <w:r w:rsidRPr="00BE536E">
        <w:rPr>
          <w:rFonts w:ascii="Verdana" w:hAnsi="Verdana"/>
          <w:sz w:val="20"/>
          <w:szCs w:val="20"/>
          <w:lang w:val="en-US"/>
        </w:rPr>
        <w:t>CoR</w:t>
      </w:r>
      <w:r w:rsidRPr="00BE536E">
        <w:rPr>
          <w:rFonts w:ascii="Verdana" w:hAnsi="Verdana"/>
          <w:sz w:val="20"/>
          <w:szCs w:val="20"/>
        </w:rPr>
        <w:t xml:space="preserve"> для стадии 1.</w:t>
      </w:r>
    </w:p>
    <w:p w14:paraId="77B71418" w14:textId="77777777" w:rsidR="002A3D95" w:rsidRPr="00BE536E" w:rsidRDefault="002A3D95" w:rsidP="002A3D95">
      <w:pPr>
        <w:autoSpaceDE w:val="0"/>
        <w:autoSpaceDN w:val="0"/>
        <w:spacing w:after="0" w:line="360" w:lineRule="auto"/>
        <w:jc w:val="both"/>
        <w:rPr>
          <w:rFonts w:ascii="Times New Roman" w:hAnsi="Times New Roman"/>
          <w:sz w:val="24"/>
          <w:szCs w:val="24"/>
        </w:rPr>
      </w:pPr>
    </w:p>
    <w:p w14:paraId="458AC1DF" w14:textId="77777777" w:rsidR="002A3D95" w:rsidRPr="00BE536E" w:rsidRDefault="002A3D95" w:rsidP="002A3D95">
      <w:pPr>
        <w:pStyle w:val="a0"/>
        <w:numPr>
          <w:ilvl w:val="0"/>
          <w:numId w:val="0"/>
        </w:numPr>
        <w:spacing w:before="0" w:after="0" w:line="360" w:lineRule="auto"/>
        <w:ind w:left="360"/>
        <w:jc w:val="both"/>
        <w:rPr>
          <w:rFonts w:ascii="Verdana" w:hAnsi="Verdana"/>
          <w:b w:val="0"/>
          <w:sz w:val="20"/>
          <w:szCs w:val="20"/>
        </w:rPr>
      </w:pPr>
      <w:r w:rsidRPr="00BE536E">
        <w:rPr>
          <w:rFonts w:ascii="Verdana" w:hAnsi="Verdana"/>
          <w:sz w:val="20"/>
          <w:szCs w:val="20"/>
        </w:rPr>
        <w:t>Раздел 2. Оценка активов. Обесценение без дефолта.</w:t>
      </w:r>
    </w:p>
    <w:p w14:paraId="773C6A3D" w14:textId="77777777" w:rsidR="002A3D95" w:rsidRPr="00BE536E" w:rsidRDefault="002A3D95" w:rsidP="002A3D95">
      <w:pPr>
        <w:pStyle w:val="a0"/>
        <w:numPr>
          <w:ilvl w:val="0"/>
          <w:numId w:val="0"/>
        </w:numPr>
        <w:spacing w:before="0" w:after="0" w:line="360" w:lineRule="auto"/>
        <w:ind w:firstLine="709"/>
        <w:jc w:val="both"/>
        <w:rPr>
          <w:rFonts w:ascii="Verdana" w:hAnsi="Verdana"/>
          <w:b w:val="0"/>
          <w:sz w:val="20"/>
          <w:szCs w:val="20"/>
        </w:rPr>
      </w:pPr>
    </w:p>
    <w:p w14:paraId="63C4AB61" w14:textId="77777777" w:rsidR="002A3D95" w:rsidRPr="00BE536E" w:rsidRDefault="002A3D95" w:rsidP="00D05311">
      <w:pPr>
        <w:numPr>
          <w:ilvl w:val="1"/>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При возникновении события, ведущего к обесценению, справедливая стоимость долговых инструментов (в случае отсутствия цен основного рынка на дату определения СЧА), в том числе денежных средств на счетах и во вкладах, справедливая стоимость дебиторской задолженности, прав требования по договорам займа и кредитным договорам (в случае, если займодавцем по договору выступает Фонд), определяется в соответствии с методом корректировки справедливой стоимости по формуле 2. </w:t>
      </w:r>
    </w:p>
    <w:p w14:paraId="0AEFA6F2" w14:textId="77777777" w:rsidR="002A3D95" w:rsidRPr="00BE536E" w:rsidRDefault="002A3D95" w:rsidP="002A3D95">
      <w:pPr>
        <w:spacing w:after="0" w:line="360" w:lineRule="auto"/>
        <w:ind w:firstLine="709"/>
        <w:jc w:val="both"/>
        <w:rPr>
          <w:rFonts w:ascii="Verdana" w:hAnsi="Verdana"/>
          <w:sz w:val="20"/>
          <w:szCs w:val="20"/>
        </w:rPr>
      </w:pPr>
    </w:p>
    <w:p w14:paraId="26E44B50" w14:textId="77777777" w:rsidR="002A3D95" w:rsidRPr="00BE536E" w:rsidRDefault="002A3D95" w:rsidP="00D05311">
      <w:pPr>
        <w:numPr>
          <w:ilvl w:val="1"/>
          <w:numId w:val="57"/>
        </w:numPr>
        <w:spacing w:after="0" w:line="360" w:lineRule="auto"/>
        <w:ind w:left="0" w:firstLine="709"/>
        <w:jc w:val="both"/>
        <w:rPr>
          <w:rFonts w:ascii="Verdana" w:hAnsi="Verdana"/>
          <w:b/>
          <w:sz w:val="20"/>
          <w:szCs w:val="20"/>
        </w:rPr>
      </w:pPr>
      <w:r w:rsidRPr="00BE536E">
        <w:rPr>
          <w:rFonts w:ascii="Verdana" w:hAnsi="Verdana"/>
          <w:b/>
          <w:sz w:val="20"/>
          <w:szCs w:val="20"/>
        </w:rPr>
        <w:t>События, ведущие к обесценению:</w:t>
      </w:r>
      <w:r w:rsidRPr="00BE536E" w:rsidDel="005A6B42">
        <w:rPr>
          <w:rFonts w:ascii="Verdana" w:hAnsi="Verdana"/>
          <w:b/>
          <w:sz w:val="20"/>
          <w:szCs w:val="20"/>
        </w:rPr>
        <w:t xml:space="preserve"> </w:t>
      </w:r>
    </w:p>
    <w:p w14:paraId="1F29F4C9" w14:textId="77777777" w:rsidR="002A3D95" w:rsidRPr="00BE536E" w:rsidRDefault="002A3D95" w:rsidP="00D05311">
      <w:pPr>
        <w:numPr>
          <w:ilvl w:val="2"/>
          <w:numId w:val="57"/>
        </w:numPr>
        <w:spacing w:after="0" w:line="360" w:lineRule="auto"/>
        <w:ind w:left="0" w:firstLine="709"/>
        <w:jc w:val="both"/>
        <w:rPr>
          <w:rFonts w:ascii="Verdana" w:hAnsi="Verdana"/>
          <w:i/>
          <w:sz w:val="20"/>
          <w:szCs w:val="20"/>
        </w:rPr>
      </w:pPr>
      <w:r w:rsidRPr="00BE536E">
        <w:rPr>
          <w:rFonts w:ascii="Verdana" w:hAnsi="Verdana"/>
          <w:sz w:val="20"/>
          <w:szCs w:val="20"/>
        </w:rPr>
        <w:t xml:space="preserve">В отношении </w:t>
      </w:r>
      <w:r w:rsidRPr="00BE536E">
        <w:rPr>
          <w:rFonts w:ascii="Verdana" w:hAnsi="Verdana"/>
          <w:b/>
          <w:sz w:val="20"/>
          <w:szCs w:val="20"/>
        </w:rPr>
        <w:t>юридических</w:t>
      </w:r>
      <w:r w:rsidRPr="00BE536E">
        <w:rPr>
          <w:rFonts w:ascii="Verdana" w:hAnsi="Verdana"/>
          <w:sz w:val="20"/>
          <w:szCs w:val="20"/>
        </w:rPr>
        <w:t xml:space="preserve"> лиц</w:t>
      </w:r>
    </w:p>
    <w:p w14:paraId="27A089C1"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lastRenderedPageBreak/>
        <w:t xml:space="preserve">Ухудшение финансового положения , отразившиеся в доступной финансовой отчетности, а именно снижение стоимости чистых активов более чем на 20%; </w:t>
      </w:r>
    </w:p>
    <w:p w14:paraId="54D17692"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Негативное действие рейтинговых агентств – в  случае наличия у контрагента рейтинга рейтингового агентства, входящих либо в реестр кредитных рейтинговых агентств, либо реестр филиалов и представительств иностранных рейтинговых агентств, публикуемых на сайте Банка России: </w:t>
      </w:r>
    </w:p>
    <w:p w14:paraId="02BEA77E" w14:textId="77777777" w:rsidR="002A3D95" w:rsidRPr="00BE536E" w:rsidRDefault="002A3D95" w:rsidP="00D05311">
      <w:pPr>
        <w:numPr>
          <w:ilvl w:val="0"/>
          <w:numId w:val="54"/>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Снижение рейтинга на 1 ступень и более;</w:t>
      </w:r>
    </w:p>
    <w:p w14:paraId="672C4831" w14:textId="77777777" w:rsidR="002A3D95" w:rsidRPr="00BE536E" w:rsidRDefault="002A3D95" w:rsidP="00D05311">
      <w:pPr>
        <w:numPr>
          <w:ilvl w:val="0"/>
          <w:numId w:val="54"/>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Отзыв рейтинга (за исключением случаев, когда контрагенту присвоены рейтинги нескольких рейтинговых агентств и отзыв рейтинга не является следствием ухудшения кредитоспособности эмитента). Такое решение оформляется мотивированным суждением Управляющей компании.</w:t>
      </w:r>
    </w:p>
    <w:p w14:paraId="28DA5B38"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Ухудшение рейтинга, присвоенного по международной шкале в иностранной валюте для задолженности не учитывается в качестве признака обесценения в случае, если они обусловлены ухудшением страновой оценки.</w:t>
      </w:r>
    </w:p>
    <w:p w14:paraId="5BEA2E89"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Ухудшение рейтинга одним рейтинговым агентством, ранее произведенное другим рейтинговым агентством и учтенное в качестве события, ведущего к обесценению, не учитывается, если причиной ухудшения является одно и то же событие.</w:t>
      </w:r>
    </w:p>
    <w:p w14:paraId="42082AA4"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sidDel="001C0998">
        <w:rPr>
          <w:rFonts w:ascii="Verdana" w:hAnsi="Verdana"/>
          <w:sz w:val="20"/>
          <w:szCs w:val="20"/>
        </w:rPr>
        <w:t xml:space="preserve"> </w:t>
      </w:r>
      <w:r w:rsidRPr="00BE536E">
        <w:rPr>
          <w:rFonts w:ascii="Verdana" w:hAnsi="Verdana"/>
          <w:sz w:val="20"/>
          <w:szCs w:val="20"/>
        </w:rPr>
        <w:t>Резкий рост доходности любого долгового инструмента эмитента (за последние 5 торговых дней при отсутствии роста доходности ОФЗ и при отсутствии роста доходности аналогичных облигаций эмитентов).</w:t>
      </w:r>
    </w:p>
    <w:p w14:paraId="4E58AC7F"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Управляющая компания на основе экспертного (мотивированного) суждения определяет влияние роста доходности облигации на кредитоспособность эмитента, исходя из сравнения со спрэдом аналогичных облигаций к ОФЗ на дату оценки.</w:t>
      </w:r>
    </w:p>
    <w:p w14:paraId="3ADE5296"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Отзыв (аннулирование) лицензии на осуществление основного вида деятельности.</w:t>
      </w:r>
    </w:p>
    <w:p w14:paraId="7E132525"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Исчезновение активного рынка для финансового актива в результате финансовых затруднений эмитента.</w:t>
      </w:r>
    </w:p>
    <w:p w14:paraId="3F8508C8"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Наличие признаков несостоятельности (банкротства)</w:t>
      </w:r>
      <w:r w:rsidRPr="00BE536E">
        <w:rPr>
          <w:rStyle w:val="ab"/>
          <w:rFonts w:ascii="Verdana" w:hAnsi="Verdana"/>
        </w:rPr>
        <w:footnoteReference w:id="15"/>
      </w:r>
      <w:r w:rsidRPr="00BE536E">
        <w:rPr>
          <w:rFonts w:ascii="Verdana" w:hAnsi="Verdana"/>
          <w:sz w:val="20"/>
          <w:szCs w:val="20"/>
        </w:rPr>
        <w:t>.</w:t>
      </w:r>
    </w:p>
    <w:p w14:paraId="6DAEC2BC"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Для задолженности по займам, кредитам, финансовым инструментам – ставший общеизвестным дефолт по обязательствам холдинговой компании или дефолт по публичному </w:t>
      </w:r>
      <w:r w:rsidRPr="00BE536E">
        <w:rPr>
          <w:rFonts w:ascii="Verdana" w:hAnsi="Verdana"/>
          <w:sz w:val="20"/>
          <w:szCs w:val="20"/>
        </w:rPr>
        <w:lastRenderedPageBreak/>
        <w:t>долгу компаний группы</w:t>
      </w:r>
      <w:r w:rsidRPr="00BE536E">
        <w:rPr>
          <w:rStyle w:val="ab"/>
          <w:rFonts w:ascii="Verdana" w:hAnsi="Verdana"/>
        </w:rPr>
        <w:footnoteReference w:id="16"/>
      </w:r>
      <w:r w:rsidRPr="00BE536E">
        <w:rPr>
          <w:rFonts w:ascii="Verdana" w:hAnsi="Verdana"/>
          <w:sz w:val="20"/>
          <w:szCs w:val="20"/>
        </w:rPr>
        <w:t>, к которой принадлежит контрагент, в случае продолжения обслуживания долга самим контрагентом после события дефолта.</w:t>
      </w:r>
    </w:p>
    <w:p w14:paraId="64719D95"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необеспеченной задолженности по займам, кредитам, финансовым инструментам – резкий рост доходности по публичному долгу компаний группы, к которой принадлежит контрагент (за исключением случаев, когда контрагент имеет публичные котировки долговых обязательств и эти котировки не показывают признаков обесценения).</w:t>
      </w:r>
    </w:p>
    <w:p w14:paraId="75B73D8F"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В отношении </w:t>
      </w:r>
      <w:r w:rsidRPr="00BE536E">
        <w:rPr>
          <w:rFonts w:ascii="Verdana" w:hAnsi="Verdana"/>
          <w:b/>
          <w:sz w:val="20"/>
          <w:szCs w:val="20"/>
        </w:rPr>
        <w:t>физических</w:t>
      </w:r>
      <w:r w:rsidRPr="00BE536E">
        <w:rPr>
          <w:rFonts w:ascii="Verdana" w:hAnsi="Verdana"/>
          <w:sz w:val="20"/>
          <w:szCs w:val="20"/>
        </w:rPr>
        <w:t xml:space="preserve"> лиц</w:t>
      </w:r>
    </w:p>
    <w:p w14:paraId="11C18E63"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Появление у Управляющей компании информации о снижении возможности физического лица обслуживать обязательства, в том числе - потеря работы, снижение заработной платы или иного располагаемого дохода, потеря трудоспособности, утрата или обесценение собственности, являющейся одним из источников дохода физического лица;</w:t>
      </w:r>
    </w:p>
    <w:p w14:paraId="4980341F"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Появление у Управляющей компании информации об исполнительном производстве в отношении физического лица в объеме, влияющем на способность физического лица обслуживать свои обязательства</w:t>
      </w:r>
      <w:r w:rsidRPr="00BE536E">
        <w:rPr>
          <w:rStyle w:val="ab"/>
          <w:rFonts w:ascii="Verdana" w:hAnsi="Verdana"/>
        </w:rPr>
        <w:footnoteReference w:id="17"/>
      </w:r>
      <w:r w:rsidRPr="00BE536E">
        <w:rPr>
          <w:rFonts w:ascii="Verdana" w:hAnsi="Verdana"/>
          <w:sz w:val="20"/>
          <w:szCs w:val="20"/>
        </w:rPr>
        <w:t>;</w:t>
      </w:r>
    </w:p>
    <w:p w14:paraId="565C6007"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Появление у Управляющей компании информации о возбуждении уголовного дела в отношении физического лица или объявлении его в розыск;</w:t>
      </w:r>
    </w:p>
    <w:p w14:paraId="30DCD36C"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В отношении физических и юридических лиц</w:t>
      </w:r>
    </w:p>
    <w:p w14:paraId="22A798C6"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Нарушение срока исполнения обязательств на меньший срок, чем определено Управляющей компанией для признания дефолта (включая последний день срока, установленного для дефолта), но больший, чем для признания дебиторской задолженности операционной. </w:t>
      </w:r>
    </w:p>
    <w:p w14:paraId="129CA2CC"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 xml:space="preserve">Управляющая компания имеет право не считать обесцененной задолженность (кроме обязательств по операциям на рынке репо и с производными инструментами), просроченную на один день, в случае наличия документов (копий документов), свидетельствующих о своевременном исполнении обязательств. </w:t>
      </w:r>
    </w:p>
    <w:p w14:paraId="1E1E2ECC" w14:textId="77777777" w:rsidR="002A3D95" w:rsidRPr="00BE536E" w:rsidRDefault="002A3D95" w:rsidP="002A3D95">
      <w:pPr>
        <w:spacing w:line="360" w:lineRule="auto"/>
        <w:ind w:firstLine="709"/>
        <w:rPr>
          <w:rFonts w:ascii="Verdana" w:hAnsi="Verdana"/>
          <w:sz w:val="20"/>
          <w:szCs w:val="20"/>
        </w:rPr>
      </w:pPr>
      <w:r w:rsidRPr="00BE536E">
        <w:rPr>
          <w:rFonts w:ascii="Verdana" w:hAnsi="Verdana"/>
          <w:sz w:val="20"/>
          <w:szCs w:val="20"/>
        </w:rPr>
        <w:t>Такое решение оформляется мотивированным суждением Управляющей компании с приложением копии подтверждающих документов.</w:t>
      </w:r>
    </w:p>
    <w:p w14:paraId="06F614EA"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Предоставление кредитором уступки своему заемщику в силу экономических причин или договорных условий, связанных с финансовыми затруднениями этого заемщика, которую кредитор не предоставил бы в ином случае (в том числе реструктуризация </w:t>
      </w:r>
      <w:r w:rsidRPr="00BE536E">
        <w:rPr>
          <w:rFonts w:ascii="Verdana" w:hAnsi="Verdana"/>
          <w:sz w:val="20"/>
          <w:szCs w:val="20"/>
        </w:rPr>
        <w:lastRenderedPageBreak/>
        <w:t>задолженности с уменьшением ставки, пролонгацией задолженности или отсрочкой всех или части платежей).</w:t>
      </w:r>
    </w:p>
    <w:p w14:paraId="298D0F74"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Иные события, ведущие к обесценению, не указанные в настоящих Правилах определения СЧА, могут приниматься для расчета стоимости чистых активов Фонда, на основании мотивированного суждения Управляющей компании с указанием даты возникновения события обесценения и содержании такого события с подтверждением информации из открытых или собственных источников Управляющей компании.</w:t>
      </w:r>
    </w:p>
    <w:p w14:paraId="2396A2B2" w14:textId="77777777" w:rsidR="002A3D95" w:rsidRPr="00BE536E" w:rsidRDefault="002A3D95" w:rsidP="00D05311">
      <w:pPr>
        <w:numPr>
          <w:ilvl w:val="1"/>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В случае если при проведении мониторинга становится доступной информация о признаках обесценения, справедливая стоимость корректируется на ту же дату. </w:t>
      </w:r>
    </w:p>
    <w:p w14:paraId="20D05D40" w14:textId="77777777" w:rsidR="002A3D95" w:rsidRPr="00BE536E" w:rsidRDefault="002A3D95" w:rsidP="00D05311">
      <w:pPr>
        <w:numPr>
          <w:ilvl w:val="1"/>
          <w:numId w:val="57"/>
        </w:numPr>
        <w:spacing w:after="0" w:line="360" w:lineRule="auto"/>
        <w:ind w:left="0" w:firstLine="709"/>
        <w:jc w:val="both"/>
        <w:rPr>
          <w:rFonts w:ascii="Verdana" w:hAnsi="Verdana"/>
          <w:b/>
          <w:sz w:val="20"/>
          <w:szCs w:val="20"/>
        </w:rPr>
      </w:pPr>
      <w:r w:rsidRPr="00BE536E">
        <w:rPr>
          <w:rFonts w:ascii="Verdana" w:hAnsi="Verdana"/>
          <w:b/>
          <w:sz w:val="20"/>
          <w:szCs w:val="20"/>
        </w:rPr>
        <w:t>Обесценение по различным активам, относящимся к контрагенту.</w:t>
      </w:r>
    </w:p>
    <w:p w14:paraId="74962E19"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В случае возникновения обесценения по одному активу остальные активы, относящиеся к контрагенту, также считаются обесцененными</w:t>
      </w:r>
      <w:r w:rsidRPr="00BE536E">
        <w:rPr>
          <w:rStyle w:val="ab"/>
          <w:rFonts w:ascii="Verdana" w:hAnsi="Verdana"/>
        </w:rPr>
        <w:footnoteReference w:id="18"/>
      </w:r>
      <w:r w:rsidRPr="00BE536E">
        <w:rPr>
          <w:rFonts w:ascii="Verdana" w:hAnsi="Verdana"/>
          <w:sz w:val="20"/>
          <w:szCs w:val="20"/>
        </w:rPr>
        <w:t xml:space="preserve">. </w:t>
      </w:r>
    </w:p>
    <w:p w14:paraId="40736AB8"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Поручительства и гарантии контрагента с признаками обесценения принимаются в расчет с учетом обесценения.</w:t>
      </w:r>
    </w:p>
    <w:p w14:paraId="26D1F594" w14:textId="77777777" w:rsidR="002A3D95" w:rsidRPr="00BE536E" w:rsidRDefault="002A3D95" w:rsidP="002A3D95">
      <w:pPr>
        <w:spacing w:line="360" w:lineRule="auto"/>
        <w:ind w:firstLine="709"/>
        <w:rPr>
          <w:rFonts w:ascii="Verdana" w:hAnsi="Verdana"/>
          <w:sz w:val="20"/>
          <w:szCs w:val="20"/>
        </w:rPr>
      </w:pPr>
    </w:p>
    <w:p w14:paraId="5FC6F559" w14:textId="77777777" w:rsidR="002A3D95" w:rsidRPr="00BE536E" w:rsidRDefault="002A3D95" w:rsidP="00D05311">
      <w:pPr>
        <w:numPr>
          <w:ilvl w:val="1"/>
          <w:numId w:val="57"/>
        </w:numPr>
        <w:spacing w:after="0" w:line="360" w:lineRule="auto"/>
        <w:ind w:left="0" w:firstLine="709"/>
        <w:jc w:val="both"/>
        <w:rPr>
          <w:rFonts w:ascii="Verdana" w:hAnsi="Verdana"/>
          <w:b/>
          <w:sz w:val="20"/>
          <w:szCs w:val="20"/>
        </w:rPr>
      </w:pPr>
      <w:r w:rsidRPr="00BE536E">
        <w:rPr>
          <w:rFonts w:ascii="Verdana" w:hAnsi="Verdana"/>
          <w:b/>
          <w:sz w:val="20"/>
          <w:szCs w:val="20"/>
        </w:rPr>
        <w:t>Мониторинг признаков обесценения</w:t>
      </w:r>
    </w:p>
    <w:p w14:paraId="6EBF3537"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Мониторинг по финансовой отчетности  - не позже чем через 1 месяц после появления такой отчетности, но не реже, чем 1 раз в полгода для отчетности по РСБУ и 1 раз в год для отчетности по МСФО.</w:t>
      </w:r>
    </w:p>
    <w:p w14:paraId="38696FAC"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Мониторинг по рынку ценных бумаг проводится на каждую дату расчета СЧА.</w:t>
      </w:r>
    </w:p>
    <w:p w14:paraId="3FEDFA84"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Мониторинг по физическим лицам проводится раз в 6 месяцев, </w:t>
      </w:r>
    </w:p>
    <w:p w14:paraId="27B07C69"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Мониторинг по данным по судебным разбирательствам для юридических лиц проводится раз в месяц. В случае малой значимости актива по отношению к СЧА (менее 0.1% от СЧА) и по сумме (менее 100 000 руб.) мониторинг проводится не реже, чем раз в квартал.</w:t>
      </w:r>
    </w:p>
    <w:p w14:paraId="38A1958C" w14:textId="77777777" w:rsidR="002A3D95" w:rsidRPr="00BE536E" w:rsidRDefault="002A3D95" w:rsidP="002A3D95">
      <w:pPr>
        <w:spacing w:line="360" w:lineRule="auto"/>
        <w:ind w:firstLine="709"/>
        <w:rPr>
          <w:rFonts w:ascii="Verdana" w:hAnsi="Verdana"/>
          <w:b/>
          <w:sz w:val="20"/>
          <w:szCs w:val="20"/>
        </w:rPr>
      </w:pPr>
    </w:p>
    <w:p w14:paraId="29F2E7B0" w14:textId="77777777" w:rsidR="002A3D95" w:rsidRPr="00BE536E" w:rsidRDefault="002A3D95" w:rsidP="00D05311">
      <w:pPr>
        <w:numPr>
          <w:ilvl w:val="1"/>
          <w:numId w:val="57"/>
        </w:numPr>
        <w:spacing w:after="0" w:line="360" w:lineRule="auto"/>
        <w:ind w:left="0" w:firstLine="709"/>
        <w:jc w:val="both"/>
        <w:rPr>
          <w:rFonts w:ascii="Verdana" w:hAnsi="Verdana"/>
          <w:b/>
          <w:sz w:val="20"/>
          <w:szCs w:val="20"/>
        </w:rPr>
      </w:pPr>
      <w:r w:rsidRPr="00BE536E">
        <w:rPr>
          <w:rFonts w:ascii="Verdana" w:hAnsi="Verdana"/>
          <w:b/>
          <w:sz w:val="20"/>
          <w:szCs w:val="20"/>
        </w:rPr>
        <w:t xml:space="preserve">Выход из состояния обесценения. </w:t>
      </w:r>
    </w:p>
    <w:p w14:paraId="66AF1DE2"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t>Задолженность перестает считаться обесцененной в следующих случаях:</w:t>
      </w:r>
    </w:p>
    <w:p w14:paraId="671A43DC"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Для юридических лиц</w:t>
      </w:r>
    </w:p>
    <w:p w14:paraId="75AA4A2D"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lastRenderedPageBreak/>
        <w:t>Для обесценения из-за превышения пороговых значений - в случае прекращения приведшего к обесценению нарушения пороговых значений финансовых показателей в течение двух кварталов.</w:t>
      </w:r>
    </w:p>
    <w:p w14:paraId="20EC98D6"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понижения рейтинга - в случае повышения рейтинга, который ранее был понижен, либо сохранения рейтинга со стабильным прогнозом в течение срока не менее 12 месяцев.</w:t>
      </w:r>
    </w:p>
    <w:p w14:paraId="2FB00037"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обесценения из-за резкого роста доходности по торгуемым долговым инструментам эмитента – в случае возвращения спрэдов по облигациям эмитента к </w:t>
      </w:r>
      <w:r w:rsidRPr="00BE536E">
        <w:rPr>
          <w:rFonts w:ascii="Verdana" w:hAnsi="Verdana"/>
          <w:sz w:val="20"/>
          <w:szCs w:val="20"/>
          <w:lang w:val="en-US"/>
        </w:rPr>
        <w:t>G</w:t>
      </w:r>
      <w:r w:rsidRPr="00BE536E">
        <w:rPr>
          <w:rFonts w:ascii="Verdana" w:hAnsi="Verdana"/>
          <w:sz w:val="20"/>
          <w:szCs w:val="20"/>
        </w:rPr>
        <w:t xml:space="preserve">-кривой к прежним уровням (либо уровням компаний, которые до момента обесценения торговались с близким спрэдом к </w:t>
      </w:r>
      <w:r w:rsidRPr="00BE536E">
        <w:rPr>
          <w:rFonts w:ascii="Verdana" w:hAnsi="Verdana"/>
          <w:sz w:val="20"/>
          <w:szCs w:val="20"/>
          <w:lang w:val="en-US"/>
        </w:rPr>
        <w:t>G</w:t>
      </w:r>
      <w:r w:rsidRPr="00BE536E">
        <w:rPr>
          <w:rFonts w:ascii="Verdana" w:hAnsi="Verdana"/>
          <w:sz w:val="20"/>
          <w:szCs w:val="20"/>
        </w:rPr>
        <w:t>-кривой</w:t>
      </w:r>
      <w:r w:rsidRPr="00BE536E">
        <w:rPr>
          <w:rStyle w:val="ab"/>
          <w:rFonts w:ascii="Verdana" w:hAnsi="Verdana"/>
        </w:rPr>
        <w:footnoteReference w:id="19"/>
      </w:r>
      <w:r w:rsidRPr="00BE536E">
        <w:rPr>
          <w:rFonts w:ascii="Verdana" w:hAnsi="Verdana"/>
          <w:sz w:val="20"/>
          <w:szCs w:val="20"/>
        </w:rPr>
        <w:t>).</w:t>
      </w:r>
    </w:p>
    <w:p w14:paraId="0E0519D9"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обесценения из-за потери лицензии – в случае восстановления лицензии либо получения лицензии на этот же или иные виды деятельности; выход из состояния обесценения возможен только в случае получения не менее чем двух квартальных отчетов или годового отчета о деятельности контрагента в новом качестве, при этом в деятельности должны отсутствовать иные признаки обесценения. </w:t>
      </w:r>
    </w:p>
    <w:p w14:paraId="74BD4177"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исчезновения активного рынка из-за финансовых проблем эмитента – в случае восстановления активного рынка и отсутствия иных признаков обесценения.</w:t>
      </w:r>
    </w:p>
    <w:p w14:paraId="1B8575CF"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наличия признаков банкротства – в случае отсутствия признаков банкротства в течение срока не менее 6 мес.</w:t>
      </w:r>
    </w:p>
    <w:p w14:paraId="6A05382D"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 Для всех случаев - в случае изменения состава акционеров, когда новые акционеры существенно улучшают оценку возможной поддержки. Данное действие должно быть обосновано мотивированным суждением.</w:t>
      </w:r>
    </w:p>
    <w:p w14:paraId="6548F61B"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В отношении физических лиц.</w:t>
      </w:r>
    </w:p>
    <w:p w14:paraId="3B1648E5"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информации об ухудшении платежеспособности – в случае получения информации о восстановлении платежеспособности и сохранении этого статуса в течение срока не менее 6 мес.</w:t>
      </w:r>
      <w:r w:rsidRPr="00BE536E">
        <w:rPr>
          <w:rStyle w:val="ab"/>
          <w:rFonts w:ascii="Verdana" w:hAnsi="Verdana"/>
        </w:rPr>
        <w:footnoteReference w:id="20"/>
      </w:r>
    </w:p>
    <w:p w14:paraId="60F73FEC"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информации об исполнительном производстве – в случае погашения задолженности по исполнительному производству.</w:t>
      </w:r>
    </w:p>
    <w:p w14:paraId="085C2C8F"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В отношении юридических и физических лиц.</w:t>
      </w:r>
    </w:p>
    <w:p w14:paraId="53262C09"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lastRenderedPageBreak/>
        <w:t>Для обесценения из-за нарушения сроков исполнения обязательств – в случае полного исполнения просроченных обязательств и не менее чем 6 мес. обслуживания задолженности без просрочек, превышающих срок, позволяющий относить задолженность к операционной. В случае наличия документов (копий документов) о своевременном исполнении обязательств и реальном исполнении обязательств в течение 3 дней после наступления срока контрагент/заемщик также может быть выведен из состояния обесценения, данное действие должно быть обосновано мотивированным суждением.</w:t>
      </w:r>
    </w:p>
    <w:p w14:paraId="7A74370C"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реструктуризации в пользу заемщика – в случае полного погашения реструктурированной задолженности (кроме случаев, когда одновременно с погашением возникает новая задолженность) и обслуживания прочей задолженности без реструктуризаций и просрочек, превышающих срок, позволяющий относить задолженность к операционной, в течение срока не менее 3 мес. после погашения реструктурированной задолженности.</w:t>
      </w:r>
    </w:p>
    <w:p w14:paraId="5770C922"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В случае получения информации о прекращении судебного/уголовного преследования путем оправдательного приговора либо прекращения дела. При этом в случае мирового соглашения между заемщиком/контрагентом и истцом Управляющая компания обязана провести оценку финансового состояния с учетом известных или предполагаемых условий мирового соглашения.</w:t>
      </w:r>
    </w:p>
    <w:p w14:paraId="1CE10E45"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обязательств контрагента, которые стали обесцененными из-за нарушения условий обслуживания по другим обязательствам контрагента/эмитента, – в случае погашения реструктурированной или просроченной задолженности и обслуживания всей прочей задолженности без нарушений условий или реструктуризаций в течение всего периода до погашения и 6 мес. после погашения проблемной задолженности.</w:t>
      </w:r>
    </w:p>
    <w:p w14:paraId="00ED3CA5" w14:textId="77777777" w:rsidR="002A3D95" w:rsidRPr="00BE536E" w:rsidRDefault="002A3D95" w:rsidP="002A3D95">
      <w:pPr>
        <w:spacing w:after="0" w:line="360" w:lineRule="auto"/>
        <w:ind w:left="709"/>
        <w:jc w:val="both"/>
        <w:rPr>
          <w:rFonts w:ascii="Verdana" w:hAnsi="Verdana"/>
          <w:sz w:val="20"/>
          <w:szCs w:val="20"/>
        </w:rPr>
      </w:pPr>
    </w:p>
    <w:p w14:paraId="283C35AC" w14:textId="77777777" w:rsidR="002A3D95" w:rsidRPr="00BE536E" w:rsidRDefault="002A3D95" w:rsidP="00D05311">
      <w:pPr>
        <w:numPr>
          <w:ilvl w:val="1"/>
          <w:numId w:val="57"/>
        </w:numPr>
        <w:spacing w:after="0" w:line="360" w:lineRule="auto"/>
        <w:ind w:left="0" w:firstLine="709"/>
        <w:jc w:val="both"/>
        <w:rPr>
          <w:rFonts w:ascii="Verdana" w:hAnsi="Verdana"/>
          <w:b/>
          <w:sz w:val="20"/>
          <w:szCs w:val="20"/>
        </w:rPr>
      </w:pPr>
      <w:r w:rsidRPr="00BE536E">
        <w:rPr>
          <w:rFonts w:ascii="Verdana" w:hAnsi="Verdana"/>
          <w:b/>
          <w:sz w:val="20"/>
          <w:szCs w:val="20"/>
        </w:rPr>
        <w:t>Расчет справедливой стоимости актива с учетом признаков обесценения (до дефолта контрагента)</w:t>
      </w:r>
    </w:p>
    <w:p w14:paraId="28E3D603"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Справедливая стоимость актива при возникновении признаков обесценения определяется по методу приведенной стоимости будущих денежных потоков, учитывая кредитные риски через корректировку денежных потоков (Формула 2), за исключением случаев, описанных ниже в этом пункте. Вероятность дефолта PD(T(n)) определяется с учетом положений, установленных в разделе 4.</w:t>
      </w:r>
    </w:p>
    <w:p w14:paraId="4795FDDB"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PD(T(n))*LGD заменяется на CoR. </w:t>
      </w:r>
      <w:r w:rsidRPr="00BE536E">
        <w:rPr>
          <w:rFonts w:ascii="Verdana" w:hAnsi="Verdana"/>
          <w:sz w:val="20"/>
          <w:szCs w:val="20"/>
        </w:rPr>
        <w:lastRenderedPageBreak/>
        <w:t xml:space="preserve">CoR определяется в соответствии с порядком, установленном в разделе 6. Для оценки кредитно-обесцененных активов используется значение </w:t>
      </w:r>
      <w:r w:rsidRPr="00BE536E">
        <w:rPr>
          <w:rFonts w:ascii="Verdana" w:hAnsi="Verdana"/>
          <w:sz w:val="20"/>
          <w:szCs w:val="20"/>
          <w:lang w:val="en-US"/>
        </w:rPr>
        <w:t>CoR</w:t>
      </w:r>
      <w:r w:rsidRPr="00BE536E">
        <w:rPr>
          <w:rFonts w:ascii="Verdana" w:hAnsi="Verdana"/>
          <w:sz w:val="20"/>
          <w:szCs w:val="20"/>
        </w:rPr>
        <w:t xml:space="preserve"> для стадии 2. </w:t>
      </w:r>
    </w:p>
    <w:p w14:paraId="603884B3"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Для просроченной части задолженности в Формуле 2 в качестве (</w:t>
      </w:r>
      <w:r w:rsidRPr="00BE536E">
        <w:rPr>
          <w:rFonts w:ascii="Verdana" w:hAnsi="Verdana"/>
          <w:sz w:val="20"/>
          <w:szCs w:val="20"/>
          <w:lang w:val="en-US"/>
        </w:rPr>
        <w:t>Tn</w:t>
      </w:r>
      <w:r w:rsidRPr="00BE536E">
        <w:rPr>
          <w:rFonts w:ascii="Verdana" w:hAnsi="Verdana"/>
          <w:sz w:val="20"/>
          <w:szCs w:val="20"/>
        </w:rPr>
        <w:t>) принимается 1 день, если мотивированным суждением не установлен иной срок.</w:t>
      </w:r>
    </w:p>
    <w:p w14:paraId="7347A9C8" w14:textId="77777777" w:rsidR="002A3D95" w:rsidRPr="00BE536E" w:rsidRDefault="002A3D95" w:rsidP="002A3D95">
      <w:pPr>
        <w:spacing w:after="0" w:line="360" w:lineRule="auto"/>
        <w:ind w:firstLine="709"/>
        <w:jc w:val="both"/>
        <w:rPr>
          <w:rFonts w:ascii="Verdana" w:hAnsi="Verdana"/>
          <w:i/>
          <w:sz w:val="20"/>
          <w:szCs w:val="20"/>
        </w:rPr>
      </w:pPr>
      <w:r w:rsidRPr="00BE536E">
        <w:rPr>
          <w:rFonts w:ascii="Verdana" w:hAnsi="Verdana"/>
          <w:i/>
          <w:sz w:val="20"/>
          <w:szCs w:val="20"/>
        </w:rPr>
        <w:t>Информация о выявленных признаках обесценения и выходе из состояния обесценения предоставляется Управляющей компанией в Специализированный депозитарий не позднее следующего рабочего дня за днем возникновения признака обесценения</w:t>
      </w:r>
      <w:r w:rsidR="006B7C22" w:rsidRPr="00BE536E">
        <w:rPr>
          <w:i/>
        </w:rPr>
        <w:t xml:space="preserve"> или выхода из состояния обесценения</w:t>
      </w:r>
      <w:r w:rsidRPr="00BE536E">
        <w:rPr>
          <w:rFonts w:ascii="Verdana" w:hAnsi="Verdana"/>
          <w:i/>
          <w:sz w:val="20"/>
          <w:szCs w:val="20"/>
        </w:rPr>
        <w:t xml:space="preserve"> (при условии, что информация о возникновении признака обесценения</w:t>
      </w:r>
      <w:r w:rsidR="00345B9B" w:rsidRPr="00BE536E">
        <w:rPr>
          <w:i/>
        </w:rPr>
        <w:t xml:space="preserve"> или выхода из состояния обесценения</w:t>
      </w:r>
      <w:r w:rsidRPr="00BE536E">
        <w:rPr>
          <w:rFonts w:ascii="Verdana" w:hAnsi="Verdana"/>
          <w:i/>
          <w:sz w:val="20"/>
          <w:szCs w:val="20"/>
        </w:rPr>
        <w:t xml:space="preserve"> прямо или косвенно наблюдаема Управляющей компанией).</w:t>
      </w:r>
    </w:p>
    <w:p w14:paraId="1F4946EF" w14:textId="77777777" w:rsidR="002A3D95" w:rsidRPr="00BE536E" w:rsidRDefault="002A3D95" w:rsidP="002A3D95">
      <w:pPr>
        <w:spacing w:after="0" w:line="360" w:lineRule="auto"/>
        <w:ind w:firstLine="709"/>
        <w:jc w:val="both"/>
        <w:rPr>
          <w:rFonts w:ascii="Times New Roman" w:hAnsi="Times New Roman"/>
          <w:sz w:val="20"/>
          <w:szCs w:val="20"/>
        </w:rPr>
      </w:pPr>
    </w:p>
    <w:p w14:paraId="5932FA3E" w14:textId="77777777" w:rsidR="002A3D95" w:rsidRPr="00BE536E" w:rsidRDefault="002A3D95" w:rsidP="002A3D95">
      <w:pPr>
        <w:pStyle w:val="a0"/>
        <w:numPr>
          <w:ilvl w:val="0"/>
          <w:numId w:val="0"/>
        </w:numPr>
        <w:spacing w:before="0" w:after="0" w:line="360" w:lineRule="auto"/>
        <w:ind w:left="1152"/>
        <w:jc w:val="both"/>
        <w:rPr>
          <w:rFonts w:ascii="Verdana" w:hAnsi="Verdana"/>
          <w:sz w:val="20"/>
          <w:szCs w:val="20"/>
        </w:rPr>
      </w:pPr>
      <w:r w:rsidRPr="00BE536E">
        <w:rPr>
          <w:rFonts w:ascii="Verdana" w:hAnsi="Verdana"/>
          <w:sz w:val="20"/>
          <w:szCs w:val="20"/>
        </w:rPr>
        <w:t>Раздел 3. Оценка активов, находящихся в состоянии дефолта.</w:t>
      </w:r>
    </w:p>
    <w:p w14:paraId="13B6F7F0" w14:textId="77777777" w:rsidR="002A3D95" w:rsidRPr="00BE536E" w:rsidRDefault="002A3D95" w:rsidP="00567222">
      <w:pPr>
        <w:spacing w:after="0" w:line="360" w:lineRule="auto"/>
        <w:ind w:left="709"/>
        <w:jc w:val="both"/>
        <w:rPr>
          <w:rFonts w:ascii="Verdana" w:hAnsi="Verdana"/>
          <w:b/>
          <w:sz w:val="20"/>
          <w:szCs w:val="20"/>
        </w:rPr>
      </w:pPr>
    </w:p>
    <w:p w14:paraId="6D527CBD" w14:textId="77777777" w:rsidR="002A3D95" w:rsidRPr="00BE536E" w:rsidRDefault="002A3D95" w:rsidP="00D05311">
      <w:pPr>
        <w:numPr>
          <w:ilvl w:val="1"/>
          <w:numId w:val="45"/>
        </w:numPr>
        <w:spacing w:after="0" w:line="360" w:lineRule="auto"/>
        <w:jc w:val="both"/>
        <w:rPr>
          <w:rFonts w:ascii="Verdana" w:hAnsi="Verdana"/>
          <w:b/>
          <w:sz w:val="20"/>
          <w:szCs w:val="20"/>
        </w:rPr>
      </w:pPr>
      <w:r w:rsidRPr="00BE536E">
        <w:rPr>
          <w:rFonts w:ascii="Verdana" w:hAnsi="Verdana"/>
          <w:sz w:val="20"/>
          <w:szCs w:val="20"/>
        </w:rPr>
        <w:t xml:space="preserve">Предельные сроки признания дефолта для различных видов задолженности </w:t>
      </w:r>
    </w:p>
    <w:tbl>
      <w:tblPr>
        <w:tblW w:w="9512" w:type="dxa"/>
        <w:tblInd w:w="94" w:type="dxa"/>
        <w:tblLook w:val="04A0" w:firstRow="1" w:lastRow="0" w:firstColumn="1" w:lastColumn="0" w:noHBand="0" w:noVBand="1"/>
      </w:tblPr>
      <w:tblGrid>
        <w:gridCol w:w="6393"/>
        <w:gridCol w:w="3119"/>
      </w:tblGrid>
      <w:tr w:rsidR="002A3D95" w:rsidRPr="00BE536E" w14:paraId="132A461E" w14:textId="77777777" w:rsidTr="00C819D7">
        <w:trPr>
          <w:trHeight w:val="483"/>
        </w:trPr>
        <w:tc>
          <w:tcPr>
            <w:tcW w:w="63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88549A" w14:textId="77777777" w:rsidR="002A3D95" w:rsidRPr="00BE536E" w:rsidRDefault="002A3D95" w:rsidP="00C819D7">
            <w:pPr>
              <w:jc w:val="center"/>
              <w:rPr>
                <w:rFonts w:ascii="Verdana" w:eastAsia="Times New Roman" w:hAnsi="Verdana"/>
                <w:b/>
                <w:bCs/>
                <w:sz w:val="20"/>
                <w:szCs w:val="20"/>
              </w:rPr>
            </w:pPr>
            <w:r w:rsidRPr="00BE536E">
              <w:rPr>
                <w:rFonts w:ascii="Verdana" w:eastAsia="Times New Roman" w:hAnsi="Verdana"/>
                <w:b/>
                <w:bCs/>
                <w:sz w:val="20"/>
                <w:szCs w:val="20"/>
              </w:rPr>
              <w:t>Дебиторская задолженность/обязательства дебиторов/контрагентов/эмитентов/заемщиков</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592247D3" w14:textId="77777777" w:rsidR="002A3D95" w:rsidRPr="00BE536E" w:rsidRDefault="002A3D95" w:rsidP="00C819D7">
            <w:pPr>
              <w:jc w:val="center"/>
              <w:rPr>
                <w:rFonts w:ascii="Verdana" w:eastAsia="Times New Roman" w:hAnsi="Verdana"/>
                <w:b/>
                <w:bCs/>
                <w:sz w:val="20"/>
                <w:szCs w:val="20"/>
              </w:rPr>
            </w:pPr>
            <w:r w:rsidRPr="00BE536E">
              <w:rPr>
                <w:rFonts w:ascii="Verdana" w:eastAsia="Times New Roman" w:hAnsi="Verdana"/>
                <w:b/>
                <w:bCs/>
                <w:sz w:val="20"/>
                <w:szCs w:val="20"/>
              </w:rPr>
              <w:t>Срок</w:t>
            </w:r>
          </w:p>
        </w:tc>
      </w:tr>
      <w:tr w:rsidR="002A3D95" w:rsidRPr="00BE536E" w14:paraId="3703F429" w14:textId="77777777" w:rsidTr="00C819D7">
        <w:trPr>
          <w:trHeight w:val="233"/>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57D0A5EB"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облигациям российских/иностранных эмитентов</w:t>
            </w:r>
            <w:r w:rsidRPr="00BE536E">
              <w:rPr>
                <w:rStyle w:val="ab"/>
                <w:rFonts w:ascii="Verdana" w:eastAsia="Times New Roman" w:hAnsi="Verdana"/>
              </w:rPr>
              <w:footnoteReference w:id="21"/>
            </w:r>
          </w:p>
        </w:tc>
        <w:tc>
          <w:tcPr>
            <w:tcW w:w="3119" w:type="dxa"/>
            <w:tcBorders>
              <w:top w:val="nil"/>
              <w:left w:val="nil"/>
              <w:bottom w:val="single" w:sz="4" w:space="0" w:color="auto"/>
              <w:right w:val="single" w:sz="4" w:space="0" w:color="auto"/>
            </w:tcBorders>
            <w:shd w:val="clear" w:color="auto" w:fill="auto"/>
            <w:vAlign w:val="center"/>
            <w:hideMark/>
          </w:tcPr>
          <w:p w14:paraId="7A7A0AF9"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7</w:t>
            </w:r>
            <w:r w:rsidR="00EA4C4D" w:rsidRPr="00BE536E">
              <w:rPr>
                <w:rFonts w:ascii="Verdana" w:eastAsia="Times New Roman" w:hAnsi="Verdana"/>
                <w:sz w:val="20"/>
                <w:szCs w:val="20"/>
              </w:rPr>
              <w:t xml:space="preserve"> рабочих</w:t>
            </w:r>
            <w:r w:rsidRPr="00BE536E">
              <w:rPr>
                <w:rFonts w:ascii="Verdana" w:eastAsia="Times New Roman" w:hAnsi="Verdana"/>
                <w:sz w:val="20"/>
                <w:szCs w:val="20"/>
              </w:rPr>
              <w:t xml:space="preserve"> / 10 рабочих дней</w:t>
            </w:r>
          </w:p>
        </w:tc>
      </w:tr>
      <w:tr w:rsidR="002A3D95" w:rsidRPr="00BE536E" w14:paraId="1C5CAED9" w14:textId="77777777" w:rsidTr="00C819D7">
        <w:trPr>
          <w:trHeight w:val="233"/>
        </w:trPr>
        <w:tc>
          <w:tcPr>
            <w:tcW w:w="6393" w:type="dxa"/>
            <w:tcBorders>
              <w:top w:val="nil"/>
              <w:left w:val="single" w:sz="4" w:space="0" w:color="auto"/>
              <w:bottom w:val="single" w:sz="4" w:space="0" w:color="auto"/>
              <w:right w:val="single" w:sz="4" w:space="0" w:color="auto"/>
            </w:tcBorders>
            <w:shd w:val="clear" w:color="auto" w:fill="auto"/>
            <w:vAlign w:val="center"/>
          </w:tcPr>
          <w:p w14:paraId="2DBA8C8E"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по выплате дохода по долевым активам российских/иностранных эмитентов</w:t>
            </w:r>
            <w:r w:rsidRPr="00BE536E">
              <w:rPr>
                <w:rStyle w:val="ab"/>
                <w:rFonts w:ascii="Verdana" w:eastAsia="Times New Roman" w:hAnsi="Verdana"/>
              </w:rPr>
              <w:footnoteReference w:id="22"/>
            </w:r>
          </w:p>
        </w:tc>
        <w:tc>
          <w:tcPr>
            <w:tcW w:w="3119" w:type="dxa"/>
            <w:tcBorders>
              <w:top w:val="nil"/>
              <w:left w:val="nil"/>
              <w:bottom w:val="single" w:sz="4" w:space="0" w:color="auto"/>
              <w:right w:val="single" w:sz="4" w:space="0" w:color="auto"/>
            </w:tcBorders>
            <w:shd w:val="clear" w:color="auto" w:fill="auto"/>
            <w:vAlign w:val="center"/>
          </w:tcPr>
          <w:p w14:paraId="68AEFE3F"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 xml:space="preserve">25 рабочих </w:t>
            </w:r>
            <w:r w:rsidR="004847C8" w:rsidRPr="00BE536E">
              <w:rPr>
                <w:rFonts w:ascii="Verdana" w:eastAsia="Times New Roman" w:hAnsi="Verdana"/>
                <w:sz w:val="20"/>
                <w:szCs w:val="20"/>
              </w:rPr>
              <w:t>дней</w:t>
            </w:r>
          </w:p>
        </w:tc>
      </w:tr>
      <w:tr w:rsidR="002A3D95" w:rsidRPr="00BE536E" w14:paraId="643150BE" w14:textId="77777777" w:rsidTr="00C819D7">
        <w:trPr>
          <w:trHeight w:val="233"/>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2AAC8D41"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по займам/кредитам юридических лиц</w:t>
            </w:r>
          </w:p>
        </w:tc>
        <w:tc>
          <w:tcPr>
            <w:tcW w:w="3119" w:type="dxa"/>
            <w:tcBorders>
              <w:top w:val="nil"/>
              <w:left w:val="nil"/>
              <w:bottom w:val="single" w:sz="4" w:space="0" w:color="auto"/>
              <w:right w:val="single" w:sz="4" w:space="0" w:color="auto"/>
            </w:tcBorders>
            <w:shd w:val="clear" w:color="auto" w:fill="auto"/>
            <w:vAlign w:val="center"/>
            <w:hideMark/>
          </w:tcPr>
          <w:p w14:paraId="38B3C8F6"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30 календарных дней</w:t>
            </w:r>
          </w:p>
        </w:tc>
      </w:tr>
      <w:tr w:rsidR="002A3D95" w:rsidRPr="00BE536E" w14:paraId="55AC0880" w14:textId="77777777" w:rsidTr="00C819D7">
        <w:trPr>
          <w:trHeight w:val="467"/>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52F37EE3"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на межбанковском рынке, рынке производных инструментов, рынке РЕПО</w:t>
            </w:r>
          </w:p>
        </w:tc>
        <w:tc>
          <w:tcPr>
            <w:tcW w:w="3119" w:type="dxa"/>
            <w:tcBorders>
              <w:top w:val="nil"/>
              <w:left w:val="nil"/>
              <w:bottom w:val="single" w:sz="4" w:space="0" w:color="auto"/>
              <w:right w:val="single" w:sz="4" w:space="0" w:color="auto"/>
            </w:tcBorders>
            <w:shd w:val="clear" w:color="auto" w:fill="auto"/>
            <w:vAlign w:val="center"/>
            <w:hideMark/>
          </w:tcPr>
          <w:p w14:paraId="62579996"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5 рабочих дней</w:t>
            </w:r>
          </w:p>
        </w:tc>
      </w:tr>
      <w:tr w:rsidR="002A3D95" w:rsidRPr="00BE536E" w14:paraId="79E4869C" w14:textId="77777777" w:rsidTr="00C819D7">
        <w:trPr>
          <w:trHeight w:val="700"/>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43CEFDC0"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Иная задолженность физических и юридических лиц перед ПИФ</w:t>
            </w:r>
          </w:p>
        </w:tc>
        <w:tc>
          <w:tcPr>
            <w:tcW w:w="3119" w:type="dxa"/>
            <w:tcBorders>
              <w:top w:val="nil"/>
              <w:left w:val="nil"/>
              <w:bottom w:val="single" w:sz="4" w:space="0" w:color="auto"/>
              <w:right w:val="single" w:sz="4" w:space="0" w:color="auto"/>
            </w:tcBorders>
            <w:shd w:val="clear" w:color="auto" w:fill="auto"/>
            <w:vAlign w:val="center"/>
            <w:hideMark/>
          </w:tcPr>
          <w:p w14:paraId="76E99420"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90 календарных дней</w:t>
            </w:r>
          </w:p>
        </w:tc>
      </w:tr>
    </w:tbl>
    <w:p w14:paraId="4F0CF998" w14:textId="77777777" w:rsidR="002A3D95" w:rsidRPr="00BE536E" w:rsidRDefault="002A3D95" w:rsidP="00D05311">
      <w:pPr>
        <w:numPr>
          <w:ilvl w:val="1"/>
          <w:numId w:val="45"/>
        </w:numPr>
        <w:spacing w:after="0" w:line="360" w:lineRule="auto"/>
        <w:jc w:val="both"/>
        <w:rPr>
          <w:rFonts w:ascii="Verdana" w:hAnsi="Verdana"/>
          <w:b/>
          <w:sz w:val="20"/>
          <w:szCs w:val="20"/>
        </w:rPr>
      </w:pPr>
      <w:r w:rsidRPr="00BE536E">
        <w:rPr>
          <w:rFonts w:ascii="Verdana" w:hAnsi="Verdana"/>
          <w:b/>
          <w:sz w:val="20"/>
          <w:szCs w:val="20"/>
        </w:rPr>
        <w:t>В отношении юридических лиц дефолт и приравниваемые к нему события указаны ниже:</w:t>
      </w:r>
    </w:p>
    <w:p w14:paraId="3FD01DDA"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Нарушение условий погашения или выплаты процентных доходов по активу, а также любого иного обязательства на срок, больший, чем указано в п.3.1, в случае если данная информация прямо или косвенно наблюдаема Управляющей компанией.</w:t>
      </w:r>
    </w:p>
    <w:p w14:paraId="2E1601AC"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lastRenderedPageBreak/>
        <w:t xml:space="preserve">Официальное опубликование в соответствии с федеральными законами и иными нормативными правовыми актами Российской Федерации или иностранных государств информации о просрочке исполнения эмитентом своих обязательств; </w:t>
      </w:r>
    </w:p>
    <w:p w14:paraId="1D4AF648"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Официальное опубликование решения о признании банкротом.</w:t>
      </w:r>
    </w:p>
    <w:p w14:paraId="5FD6F6FB"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 xml:space="preserve">Официальное опубликование решения о начале применения к процедур банкротства – со дня опубликования сообщения до даты, предшествующей дате опубликования сообщения </w:t>
      </w:r>
      <w:r w:rsidR="00AC052A" w:rsidRPr="00BE536E">
        <w:rPr>
          <w:sz w:val="24"/>
          <w:szCs w:val="24"/>
        </w:rPr>
        <w:t>сообщения о прекращении дела о банкротстве</w:t>
      </w:r>
      <w:r w:rsidRPr="00BE536E">
        <w:rPr>
          <w:rFonts w:ascii="Verdana" w:hAnsi="Verdana"/>
          <w:sz w:val="20"/>
          <w:szCs w:val="20"/>
        </w:rPr>
        <w:t>.</w:t>
      </w:r>
    </w:p>
    <w:p w14:paraId="54CDD852"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Официальное опубликование информации о ликвидации юридического лица, за исключением случаев поглощения и присоединения.</w:t>
      </w:r>
    </w:p>
    <w:p w14:paraId="77F09328"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 xml:space="preserve">Присвоение рейтинга </w:t>
      </w:r>
      <w:r w:rsidRPr="00BE536E">
        <w:rPr>
          <w:rFonts w:ascii="Verdana" w:hAnsi="Verdana"/>
          <w:sz w:val="20"/>
          <w:szCs w:val="20"/>
          <w:lang w:val="en-US"/>
        </w:rPr>
        <w:t>SD</w:t>
      </w:r>
      <w:r w:rsidRPr="00BE536E">
        <w:rPr>
          <w:rFonts w:ascii="Verdana" w:hAnsi="Verdana"/>
          <w:sz w:val="20"/>
          <w:szCs w:val="20"/>
        </w:rPr>
        <w:t xml:space="preserve"> (</w:t>
      </w:r>
      <w:r w:rsidRPr="00BE536E">
        <w:rPr>
          <w:rFonts w:ascii="Verdana" w:hAnsi="Verdana"/>
          <w:sz w:val="20"/>
          <w:szCs w:val="20"/>
          <w:lang w:val="en-US"/>
        </w:rPr>
        <w:t>Selected</w:t>
      </w:r>
      <w:r w:rsidRPr="00BE536E">
        <w:rPr>
          <w:rFonts w:ascii="Verdana" w:hAnsi="Verdana"/>
          <w:sz w:val="20"/>
          <w:szCs w:val="20"/>
        </w:rPr>
        <w:t xml:space="preserve"> </w:t>
      </w:r>
      <w:r w:rsidRPr="00BE536E">
        <w:rPr>
          <w:rFonts w:ascii="Verdana" w:hAnsi="Verdana"/>
          <w:sz w:val="20"/>
          <w:szCs w:val="20"/>
          <w:lang w:val="en-US"/>
        </w:rPr>
        <w:t>Default</w:t>
      </w:r>
      <w:r w:rsidRPr="00BE536E">
        <w:rPr>
          <w:rFonts w:ascii="Verdana" w:hAnsi="Verdana"/>
          <w:sz w:val="20"/>
          <w:szCs w:val="20"/>
        </w:rPr>
        <w:t xml:space="preserve">) или </w:t>
      </w:r>
      <w:r w:rsidRPr="00BE536E">
        <w:rPr>
          <w:rFonts w:ascii="Verdana" w:hAnsi="Verdana"/>
          <w:sz w:val="20"/>
          <w:szCs w:val="20"/>
          <w:lang w:val="en-US"/>
        </w:rPr>
        <w:t>D</w:t>
      </w:r>
      <w:r w:rsidRPr="00BE536E">
        <w:rPr>
          <w:rFonts w:ascii="Verdana" w:hAnsi="Verdana"/>
          <w:sz w:val="20"/>
          <w:szCs w:val="20"/>
        </w:rPr>
        <w:t xml:space="preserve"> (</w:t>
      </w:r>
      <w:r w:rsidRPr="00BE536E">
        <w:rPr>
          <w:rFonts w:ascii="Verdana" w:hAnsi="Verdana"/>
          <w:sz w:val="20"/>
          <w:szCs w:val="20"/>
          <w:lang w:val="en-US"/>
        </w:rPr>
        <w:t>Default</w:t>
      </w:r>
      <w:r w:rsidRPr="00BE536E">
        <w:rPr>
          <w:rFonts w:ascii="Verdana" w:hAnsi="Verdana"/>
          <w:sz w:val="20"/>
          <w:szCs w:val="20"/>
        </w:rPr>
        <w:t>) со стороны рейтинговых агентств.</w:t>
      </w:r>
    </w:p>
    <w:p w14:paraId="634A6FC6"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Обнаружение кредитором невозможности заемщика исполнить обязательства в силу каких-либо обстоятельств без принятия специальных мер (например, реализации залога)</w:t>
      </w:r>
    </w:p>
    <w:p w14:paraId="39AEDDB7" w14:textId="77777777" w:rsidR="002A3D95" w:rsidRPr="00BE536E" w:rsidRDefault="002A3D95" w:rsidP="002A3D95">
      <w:pPr>
        <w:spacing w:after="0" w:line="360" w:lineRule="auto"/>
        <w:ind w:firstLine="709"/>
        <w:jc w:val="both"/>
        <w:rPr>
          <w:rFonts w:ascii="Verdana" w:hAnsi="Verdana"/>
          <w:sz w:val="20"/>
          <w:szCs w:val="20"/>
        </w:rPr>
      </w:pPr>
    </w:p>
    <w:p w14:paraId="047C86B5" w14:textId="77777777" w:rsidR="002A3D95" w:rsidRPr="00BE536E" w:rsidRDefault="002A3D95" w:rsidP="00D05311">
      <w:pPr>
        <w:numPr>
          <w:ilvl w:val="1"/>
          <w:numId w:val="45"/>
        </w:numPr>
        <w:spacing w:after="0" w:line="360" w:lineRule="auto"/>
        <w:ind w:left="0" w:firstLine="709"/>
        <w:jc w:val="both"/>
        <w:rPr>
          <w:rFonts w:ascii="Verdana" w:hAnsi="Verdana"/>
          <w:b/>
          <w:sz w:val="20"/>
          <w:szCs w:val="20"/>
        </w:rPr>
      </w:pPr>
      <w:r w:rsidRPr="00BE536E">
        <w:rPr>
          <w:rFonts w:ascii="Verdana" w:hAnsi="Verdana"/>
          <w:b/>
          <w:sz w:val="20"/>
          <w:szCs w:val="20"/>
        </w:rPr>
        <w:t xml:space="preserve"> В отношении физических лиц к дефолту приравниваются следующие события:</w:t>
      </w:r>
    </w:p>
    <w:p w14:paraId="38487D56"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Нарушения условий погашения или выплаты процентных доходов по активу, составляющему активы ПИФ, а также любого иного обязательства дебитора на срок более чем указано в п.3.1., в случае если данная информация прямо или косвенно наблюдаема.</w:t>
      </w:r>
    </w:p>
    <w:p w14:paraId="4FFD0CD4"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Официальное опубликование решения о признании лица банкротом.</w:t>
      </w:r>
    </w:p>
    <w:p w14:paraId="39E210E2"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 xml:space="preserve">Официальное опубликование решения о начале применения к лицу процедур банкротства – со дня опубликования сообщения до даты, предшествующей дате опубликования сообщения </w:t>
      </w:r>
      <w:r w:rsidR="00317107" w:rsidRPr="00BE536E">
        <w:rPr>
          <w:sz w:val="24"/>
          <w:szCs w:val="24"/>
        </w:rPr>
        <w:t>о прекращении дела о банкротстве</w:t>
      </w:r>
      <w:r w:rsidRPr="00BE536E">
        <w:rPr>
          <w:rFonts w:ascii="Verdana" w:hAnsi="Verdana"/>
          <w:sz w:val="20"/>
          <w:szCs w:val="20"/>
        </w:rPr>
        <w:t>.</w:t>
      </w:r>
    </w:p>
    <w:p w14:paraId="30AE8F36"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Получение сведений об осуждении физического лица по уголовным преступлениям (кроме случаев осуждения на условный срок).</w:t>
      </w:r>
    </w:p>
    <w:p w14:paraId="33B8CDAE"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Получение сведений об объявлении физического лица пропавшим без вести.</w:t>
      </w:r>
    </w:p>
    <w:p w14:paraId="53B7557D"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Получение информации о наступлении смерти физического лица.</w:t>
      </w:r>
    </w:p>
    <w:p w14:paraId="3B578EFA" w14:textId="77777777" w:rsidR="002A3D95" w:rsidRPr="00BE536E" w:rsidRDefault="002A3D95" w:rsidP="002A3D95">
      <w:pPr>
        <w:spacing w:after="0" w:line="360" w:lineRule="auto"/>
        <w:ind w:firstLine="709"/>
        <w:jc w:val="both"/>
        <w:rPr>
          <w:rFonts w:ascii="Verdana" w:hAnsi="Verdana"/>
          <w:sz w:val="20"/>
          <w:szCs w:val="20"/>
        </w:rPr>
      </w:pPr>
    </w:p>
    <w:p w14:paraId="2914DC3F" w14:textId="77777777" w:rsidR="002A3D95" w:rsidRPr="00BE536E" w:rsidRDefault="002A3D95" w:rsidP="00D05311">
      <w:pPr>
        <w:numPr>
          <w:ilvl w:val="1"/>
          <w:numId w:val="45"/>
        </w:numPr>
        <w:spacing w:after="0" w:line="360" w:lineRule="auto"/>
        <w:ind w:left="0" w:firstLine="709"/>
        <w:jc w:val="both"/>
        <w:rPr>
          <w:rFonts w:ascii="Verdana" w:hAnsi="Verdana"/>
          <w:b/>
          <w:sz w:val="20"/>
          <w:szCs w:val="20"/>
        </w:rPr>
      </w:pPr>
      <w:r w:rsidRPr="00BE536E">
        <w:rPr>
          <w:rFonts w:ascii="Verdana" w:hAnsi="Verdana"/>
          <w:b/>
          <w:sz w:val="20"/>
          <w:szCs w:val="20"/>
        </w:rPr>
        <w:t xml:space="preserve"> Дефолт по различным активам, относящимся к контрагенту.</w:t>
      </w:r>
    </w:p>
    <w:p w14:paraId="2052250C"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 xml:space="preserve">В случае возникновения дефолта по одному активу остальные активы, относящиеся к контрагенту, также считаются находящимися в дефолте, сам контрагент (заемщик/эмитент) считается находящимся в дефолте. </w:t>
      </w:r>
    </w:p>
    <w:p w14:paraId="0A63EDC4"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lastRenderedPageBreak/>
        <w:t>Не обеспеченные залогом недвижимости, страховкой либо залогом ликвидных ценных бумаг поручительства и гарантии находящегося в дефолте контрагента не принимаются в расчет.</w:t>
      </w:r>
    </w:p>
    <w:p w14:paraId="36A538B8"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В случае наступления событий, приравненных к дефолту, считается находящимся в состоянии дефолта, все активы, относящиеся к нему, считаются находящимися в состоянии дефолта.</w:t>
      </w:r>
    </w:p>
    <w:p w14:paraId="7B7DAD60"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Управляющая компания при мониторинге задолженности учитывает принадлежность контрагента к группе компаний. При возникновении события дефолта у холдинговой компании либо у ключевых</w:t>
      </w:r>
      <w:r w:rsidRPr="00BE536E">
        <w:rPr>
          <w:rStyle w:val="ab"/>
          <w:rFonts w:ascii="Verdana" w:hAnsi="Verdana"/>
        </w:rPr>
        <w:footnoteReference w:id="23"/>
      </w:r>
      <w:r w:rsidRPr="00BE536E">
        <w:rPr>
          <w:rFonts w:ascii="Verdana" w:hAnsi="Verdana"/>
          <w:sz w:val="20"/>
          <w:szCs w:val="20"/>
        </w:rPr>
        <w:t xml:space="preserve"> компаний группы, к которой принадлежит контрагент, и получении информации об этом Управляющей компанией, контрагент также считается находящимся в состоянии дефолта (за исключением случаев, когда контрагент имеет публичные котировки акций, долговых обязательств или производных инструментов и эти котировки не показывают признаков обесценения, а также случаев, когда контрагент продолжает обслуживать долг после наступления события дефолта у компаний группы, к которой он принадлежит).</w:t>
      </w:r>
    </w:p>
    <w:p w14:paraId="1F714778" w14:textId="77777777" w:rsidR="002A3D95" w:rsidRPr="00BE536E" w:rsidRDefault="002A3D95" w:rsidP="002A3D95">
      <w:pPr>
        <w:spacing w:line="360" w:lineRule="auto"/>
        <w:ind w:left="709"/>
        <w:rPr>
          <w:rFonts w:ascii="Verdana" w:hAnsi="Verdana"/>
        </w:rPr>
      </w:pPr>
    </w:p>
    <w:p w14:paraId="57CF895B" w14:textId="77777777" w:rsidR="002A3D95" w:rsidRPr="00BE536E" w:rsidRDefault="002A3D95" w:rsidP="00D05311">
      <w:pPr>
        <w:numPr>
          <w:ilvl w:val="1"/>
          <w:numId w:val="45"/>
        </w:numPr>
        <w:autoSpaceDE w:val="0"/>
        <w:autoSpaceDN w:val="0"/>
        <w:spacing w:after="0" w:line="360" w:lineRule="auto"/>
        <w:ind w:left="0" w:firstLine="709"/>
        <w:jc w:val="both"/>
        <w:rPr>
          <w:rFonts w:ascii="Verdana" w:hAnsi="Verdana"/>
          <w:b/>
          <w:sz w:val="20"/>
        </w:rPr>
      </w:pPr>
      <w:r w:rsidRPr="00BE536E">
        <w:rPr>
          <w:rFonts w:ascii="Verdana" w:hAnsi="Verdana"/>
          <w:b/>
          <w:sz w:val="20"/>
        </w:rPr>
        <w:t>Оценка справедливой стоимости активов, находящихся в дефолте</w:t>
      </w:r>
    </w:p>
    <w:p w14:paraId="4FD53BD4" w14:textId="77777777" w:rsidR="002A3D95" w:rsidRPr="00BE536E" w:rsidRDefault="002A3D95" w:rsidP="002A3D95">
      <w:pPr>
        <w:autoSpaceDE w:val="0"/>
        <w:autoSpaceDN w:val="0"/>
        <w:spacing w:line="360" w:lineRule="auto"/>
        <w:jc w:val="both"/>
        <w:rPr>
          <w:rFonts w:ascii="Verdana" w:hAnsi="Verdana"/>
          <w:b/>
          <w:sz w:val="20"/>
        </w:rPr>
      </w:pPr>
      <w:r w:rsidRPr="00BE536E">
        <w:rPr>
          <w:rFonts w:ascii="Verdana" w:hAnsi="Verdana"/>
          <w:sz w:val="20"/>
        </w:rPr>
        <w:t xml:space="preserve">Для всех классов активов, находящихся в состоянии дефолта, справедливая стоимость актива определяется в соответствии с Формулой 2, при этом </w:t>
      </w:r>
      <w:r w:rsidRPr="00BE536E">
        <w:rPr>
          <w:rFonts w:ascii="Verdana" w:hAnsi="Verdana"/>
          <w:sz w:val="20"/>
          <w:lang w:val="en-US"/>
        </w:rPr>
        <w:t>PD</w:t>
      </w:r>
      <w:r w:rsidRPr="00BE536E">
        <w:rPr>
          <w:rFonts w:ascii="Verdana" w:hAnsi="Verdana"/>
          <w:sz w:val="20"/>
        </w:rPr>
        <w:t>(</w:t>
      </w:r>
      <w:r w:rsidRPr="00BE536E">
        <w:rPr>
          <w:rFonts w:ascii="Verdana" w:hAnsi="Verdana"/>
          <w:sz w:val="20"/>
          <w:lang w:val="en-US"/>
        </w:rPr>
        <w:t>T</w:t>
      </w:r>
      <w:r w:rsidRPr="00BE536E">
        <w:rPr>
          <w:rFonts w:ascii="Verdana" w:hAnsi="Verdana"/>
          <w:sz w:val="20"/>
        </w:rPr>
        <w:t>(</w:t>
      </w:r>
      <w:r w:rsidRPr="00BE536E">
        <w:rPr>
          <w:rFonts w:ascii="Verdana" w:hAnsi="Verdana"/>
          <w:sz w:val="20"/>
          <w:lang w:val="en-US"/>
        </w:rPr>
        <w:t>n</w:t>
      </w:r>
      <w:r w:rsidRPr="00BE536E">
        <w:rPr>
          <w:rFonts w:ascii="Verdana" w:hAnsi="Verdana"/>
          <w:sz w:val="20"/>
        </w:rPr>
        <w:t xml:space="preserve">)) принимается равными 1. </w:t>
      </w:r>
    </w:p>
    <w:p w14:paraId="426510B4" w14:textId="77777777" w:rsidR="002A3D95" w:rsidRPr="00BE536E" w:rsidRDefault="002A3D95" w:rsidP="00D05311">
      <w:pPr>
        <w:numPr>
          <w:ilvl w:val="2"/>
          <w:numId w:val="45"/>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Задолженность физических лиц, оцениваемая до наступления событий дефолта с использованием </w:t>
      </w:r>
      <w:r w:rsidRPr="00BE536E">
        <w:rPr>
          <w:rFonts w:ascii="Verdana" w:hAnsi="Verdana"/>
          <w:sz w:val="20"/>
          <w:lang w:val="en-US"/>
        </w:rPr>
        <w:t>Cost</w:t>
      </w:r>
      <w:r w:rsidRPr="00BE536E">
        <w:rPr>
          <w:rFonts w:ascii="Verdana" w:hAnsi="Verdana"/>
          <w:sz w:val="20"/>
        </w:rPr>
        <w:t xml:space="preserve"> </w:t>
      </w:r>
      <w:r w:rsidRPr="00BE536E">
        <w:rPr>
          <w:rFonts w:ascii="Verdana" w:hAnsi="Verdana"/>
          <w:sz w:val="20"/>
          <w:lang w:val="en-US"/>
        </w:rPr>
        <w:t>Of</w:t>
      </w:r>
      <w:r w:rsidRPr="00BE536E">
        <w:rPr>
          <w:rFonts w:ascii="Verdana" w:hAnsi="Verdana"/>
          <w:sz w:val="20"/>
        </w:rPr>
        <w:t xml:space="preserve"> </w:t>
      </w:r>
      <w:r w:rsidRPr="00BE536E">
        <w:rPr>
          <w:rFonts w:ascii="Verdana" w:hAnsi="Verdana"/>
          <w:sz w:val="20"/>
          <w:lang w:val="en-US"/>
        </w:rPr>
        <w:t>Risk</w:t>
      </w:r>
      <w:r w:rsidRPr="00BE536E">
        <w:rPr>
          <w:rFonts w:ascii="Verdana" w:hAnsi="Verdana"/>
          <w:sz w:val="20"/>
        </w:rPr>
        <w:t xml:space="preserve">, с даты (включая) наступления дефолта или приравненных к нему событий оценивается в общем порядке, с использованием </w:t>
      </w:r>
      <w:r w:rsidRPr="00BE536E">
        <w:rPr>
          <w:rFonts w:ascii="Verdana" w:hAnsi="Verdana"/>
          <w:sz w:val="20"/>
          <w:lang w:val="en-US"/>
        </w:rPr>
        <w:t>PD</w:t>
      </w:r>
      <w:r w:rsidRPr="00BE536E">
        <w:rPr>
          <w:rFonts w:ascii="Verdana" w:hAnsi="Verdana"/>
          <w:sz w:val="20"/>
        </w:rPr>
        <w:t xml:space="preserve"> и </w:t>
      </w:r>
      <w:r w:rsidRPr="00BE536E">
        <w:rPr>
          <w:rFonts w:ascii="Verdana" w:hAnsi="Verdana"/>
          <w:sz w:val="20"/>
          <w:lang w:val="en-US"/>
        </w:rPr>
        <w:t>LGD</w:t>
      </w:r>
      <w:r w:rsidRPr="00BE536E">
        <w:rPr>
          <w:rFonts w:ascii="Verdana" w:hAnsi="Verdana"/>
          <w:sz w:val="20"/>
        </w:rPr>
        <w:t xml:space="preserve">. При этом значение </w:t>
      </w:r>
      <w:r w:rsidRPr="00BE536E">
        <w:rPr>
          <w:rFonts w:ascii="Verdana" w:hAnsi="Verdana"/>
          <w:sz w:val="20"/>
          <w:lang w:val="en-US"/>
        </w:rPr>
        <w:t xml:space="preserve">PD </w:t>
      </w:r>
      <w:r w:rsidRPr="00BE536E">
        <w:rPr>
          <w:rFonts w:ascii="Verdana" w:hAnsi="Verdana"/>
          <w:sz w:val="20"/>
        </w:rPr>
        <w:t xml:space="preserve">для такой задолженности принимается равным 1. </w:t>
      </w:r>
    </w:p>
    <w:p w14:paraId="3A3E9751" w14:textId="77777777" w:rsidR="002A3D95" w:rsidRPr="00BE536E" w:rsidRDefault="002A3D95" w:rsidP="00D05311">
      <w:pPr>
        <w:numPr>
          <w:ilvl w:val="2"/>
          <w:numId w:val="45"/>
        </w:numPr>
        <w:spacing w:after="0" w:line="360" w:lineRule="auto"/>
        <w:ind w:left="0" w:firstLine="709"/>
        <w:jc w:val="both"/>
        <w:rPr>
          <w:rFonts w:ascii="Verdana" w:hAnsi="Verdana"/>
          <w:sz w:val="20"/>
        </w:rPr>
      </w:pPr>
      <w:r w:rsidRPr="00BE536E">
        <w:rPr>
          <w:rFonts w:ascii="Verdana" w:hAnsi="Verdana"/>
          <w:sz w:val="20"/>
        </w:rPr>
        <w:t xml:space="preserve">В случае, если контрагент/эмитент находится в </w:t>
      </w:r>
      <w:r w:rsidR="00D910A5" w:rsidRPr="00BE536E">
        <w:rPr>
          <w:rFonts w:ascii="Verdana" w:hAnsi="Verdana"/>
          <w:sz w:val="20"/>
        </w:rPr>
        <w:t xml:space="preserve">процессе </w:t>
      </w:r>
      <w:r w:rsidRPr="00BE536E">
        <w:rPr>
          <w:rFonts w:ascii="Verdana" w:hAnsi="Verdana"/>
          <w:sz w:val="20"/>
        </w:rPr>
        <w:t>банкротства</w:t>
      </w:r>
    </w:p>
    <w:p w14:paraId="0E3FD4AC" w14:textId="77777777" w:rsidR="002A3D95" w:rsidRPr="00BE536E" w:rsidRDefault="002A3D95" w:rsidP="00D05311">
      <w:pPr>
        <w:numPr>
          <w:ilvl w:val="3"/>
          <w:numId w:val="45"/>
        </w:numPr>
        <w:spacing w:after="0" w:line="360" w:lineRule="auto"/>
        <w:ind w:left="0" w:firstLine="709"/>
        <w:jc w:val="both"/>
        <w:rPr>
          <w:rFonts w:ascii="Verdana" w:hAnsi="Verdana"/>
          <w:sz w:val="20"/>
        </w:rPr>
      </w:pPr>
      <w:r w:rsidRPr="00BE536E">
        <w:rPr>
          <w:rFonts w:ascii="Verdana" w:hAnsi="Verdana"/>
          <w:sz w:val="20"/>
        </w:rPr>
        <w:t>Стоимость принимается равной нулю по требованиям на погашение основного долга (полное/частичное, срок которого наступил) и процентов, за исключением долга, оцениваемого оценщиком и обеспеченного торгуемыми ценными бумагами, недвижимостью, опционным соглашением, страховкой либо поручительством третьих лиц; оценка должна проводиться с учетом сроков и возможности получения выплат при реализации обеспечения на основе</w:t>
      </w:r>
      <w:r w:rsidRPr="00BE536E">
        <w:rPr>
          <w:rFonts w:ascii="Verdana" w:eastAsia="Times New Roman" w:hAnsi="Verdana"/>
          <w:sz w:val="20"/>
        </w:rPr>
        <w:t xml:space="preserve"> обоснованного экспертного (мотивированного) суждения Управляющей компании</w:t>
      </w:r>
      <w:r w:rsidRPr="00BE536E">
        <w:rPr>
          <w:rFonts w:ascii="Verdana" w:hAnsi="Verdana"/>
          <w:sz w:val="20"/>
        </w:rPr>
        <w:t>.</w:t>
      </w:r>
    </w:p>
    <w:p w14:paraId="41CE8095" w14:textId="77777777" w:rsidR="002A3D95" w:rsidRPr="00BE536E" w:rsidRDefault="002A3D95" w:rsidP="00D05311">
      <w:pPr>
        <w:numPr>
          <w:ilvl w:val="3"/>
          <w:numId w:val="45"/>
        </w:numPr>
        <w:spacing w:after="0" w:line="360" w:lineRule="auto"/>
        <w:ind w:left="0" w:firstLine="709"/>
        <w:jc w:val="both"/>
        <w:rPr>
          <w:rFonts w:ascii="Verdana" w:hAnsi="Verdana"/>
          <w:sz w:val="20"/>
        </w:rPr>
      </w:pPr>
      <w:r w:rsidRPr="00BE536E">
        <w:rPr>
          <w:rFonts w:ascii="Verdana" w:hAnsi="Verdana"/>
          <w:sz w:val="20"/>
        </w:rPr>
        <w:lastRenderedPageBreak/>
        <w:t xml:space="preserve">Стоимость принимается равной нулю по всем выпускам долговых ценных бумаг эмитента, всем имеющимся требованиям к эмитенту по всем выпускам ценных бумаг, включая требования на выплату купонного дохода за предыдущие купонные периоды, всем прочим требованиям контрагенту, за исключением случаев, когда у данного требования (выпуска ценных бумаг) имеются рыночные котировки либо имеется отчет оценщика давностью не более 6 мес. до момента оценки СЧА, созданный после начала процедуры банкротства. </w:t>
      </w:r>
    </w:p>
    <w:p w14:paraId="2A27B384" w14:textId="77777777" w:rsidR="002A3D95" w:rsidRPr="00BE536E" w:rsidRDefault="002A3D95" w:rsidP="002A3D95">
      <w:pPr>
        <w:spacing w:after="0" w:line="360" w:lineRule="auto"/>
        <w:ind w:firstLine="709"/>
        <w:jc w:val="both"/>
        <w:rPr>
          <w:rFonts w:ascii="Verdana" w:hAnsi="Verdana"/>
          <w:sz w:val="20"/>
        </w:rPr>
      </w:pPr>
      <w:r w:rsidRPr="00BE536E">
        <w:rPr>
          <w:rFonts w:ascii="Verdana" w:hAnsi="Verdana"/>
          <w:sz w:val="20"/>
        </w:rPr>
        <w:t>При использовании отчета оценщика при появлении новой информации о снижении возможности  востребования задолженности или снижении оценки потенциальных сумм к получению управляющая компания должна в срок не более 2 недель получить новый отчет оценщика либо принять стоимость задолженности равной нулю.</w:t>
      </w:r>
    </w:p>
    <w:p w14:paraId="501E8B32" w14:textId="77777777" w:rsidR="002A3D95" w:rsidRPr="00BE536E" w:rsidRDefault="002A3D95" w:rsidP="002A3D95">
      <w:pPr>
        <w:spacing w:after="0" w:line="360" w:lineRule="auto"/>
        <w:ind w:firstLine="709"/>
        <w:jc w:val="both"/>
        <w:rPr>
          <w:rFonts w:ascii="Verdana" w:hAnsi="Verdana"/>
          <w:sz w:val="20"/>
        </w:rPr>
      </w:pPr>
    </w:p>
    <w:p w14:paraId="3ECED881" w14:textId="77777777" w:rsidR="002A3D95" w:rsidRPr="00BE536E" w:rsidRDefault="002A3D95" w:rsidP="00D05311">
      <w:pPr>
        <w:numPr>
          <w:ilvl w:val="1"/>
          <w:numId w:val="45"/>
        </w:numPr>
        <w:spacing w:after="0" w:line="360" w:lineRule="auto"/>
        <w:ind w:left="0" w:firstLine="709"/>
        <w:jc w:val="both"/>
        <w:rPr>
          <w:rFonts w:ascii="Verdana" w:hAnsi="Verdana"/>
          <w:b/>
          <w:sz w:val="20"/>
        </w:rPr>
      </w:pPr>
      <w:r w:rsidRPr="00BE536E">
        <w:rPr>
          <w:rFonts w:ascii="Verdana" w:hAnsi="Verdana"/>
          <w:b/>
          <w:sz w:val="20"/>
        </w:rPr>
        <w:t xml:space="preserve">Выход из состояния дефолта (переход возможен только в состояние обесценения). </w:t>
      </w:r>
    </w:p>
    <w:p w14:paraId="20549073" w14:textId="77777777" w:rsidR="002A3D95" w:rsidRPr="00BE536E" w:rsidRDefault="002A3D95" w:rsidP="002A3D95">
      <w:pPr>
        <w:spacing w:after="0" w:line="360" w:lineRule="auto"/>
        <w:ind w:firstLine="709"/>
        <w:jc w:val="both"/>
        <w:rPr>
          <w:rFonts w:ascii="Verdana" w:hAnsi="Verdana"/>
          <w:sz w:val="20"/>
        </w:rPr>
      </w:pPr>
      <w:r w:rsidRPr="00BE536E">
        <w:rPr>
          <w:rFonts w:ascii="Verdana" w:hAnsi="Verdana"/>
          <w:sz w:val="20"/>
        </w:rPr>
        <w:t>Задолженность перестает считаться дефолтной в следующих случаях:</w:t>
      </w:r>
    </w:p>
    <w:p w14:paraId="67365F78" w14:textId="77777777" w:rsidR="002A3D95" w:rsidRPr="00BE536E" w:rsidRDefault="002A3D95" w:rsidP="00D05311">
      <w:pPr>
        <w:numPr>
          <w:ilvl w:val="2"/>
          <w:numId w:val="45"/>
        </w:numPr>
        <w:spacing w:after="0" w:line="360" w:lineRule="auto"/>
        <w:ind w:left="0" w:firstLine="709"/>
        <w:jc w:val="both"/>
        <w:rPr>
          <w:rFonts w:ascii="Verdana" w:hAnsi="Verdana"/>
          <w:sz w:val="20"/>
        </w:rPr>
      </w:pPr>
      <w:r w:rsidRPr="00BE536E">
        <w:rPr>
          <w:rFonts w:ascii="Verdana" w:hAnsi="Verdana"/>
          <w:sz w:val="20"/>
        </w:rPr>
        <w:t>В случае реструктуризации дефолтной задолженности контрагента перед фондом после события первого обслуживания долга.</w:t>
      </w:r>
    </w:p>
    <w:p w14:paraId="2BF97AAD" w14:textId="77777777" w:rsidR="002A3D95" w:rsidRPr="00BE536E" w:rsidRDefault="002A3D95" w:rsidP="00D05311">
      <w:pPr>
        <w:numPr>
          <w:ilvl w:val="2"/>
          <w:numId w:val="45"/>
        </w:numPr>
        <w:spacing w:after="0" w:line="360" w:lineRule="auto"/>
        <w:ind w:left="0" w:firstLine="709"/>
        <w:jc w:val="both"/>
        <w:rPr>
          <w:rFonts w:ascii="Verdana" w:hAnsi="Verdana"/>
          <w:sz w:val="20"/>
        </w:rPr>
      </w:pPr>
      <w:r w:rsidRPr="00BE536E">
        <w:rPr>
          <w:rFonts w:ascii="Verdana" w:hAnsi="Verdana"/>
          <w:sz w:val="20"/>
        </w:rPr>
        <w:t xml:space="preserve">Если задолженность была признана дефолтной из-за дефолта компаний группы, к которой принадлежит контрагент – после публичного объявления о реструктуризации либо мировом соглашении. </w:t>
      </w:r>
    </w:p>
    <w:p w14:paraId="1CE410E6" w14:textId="77777777" w:rsidR="002A3D95" w:rsidRPr="00BE536E" w:rsidRDefault="002A3D95" w:rsidP="00D05311">
      <w:pPr>
        <w:numPr>
          <w:ilvl w:val="2"/>
          <w:numId w:val="45"/>
        </w:numPr>
        <w:spacing w:after="0" w:line="360" w:lineRule="auto"/>
        <w:ind w:left="0" w:firstLine="709"/>
        <w:jc w:val="both"/>
        <w:rPr>
          <w:rFonts w:ascii="Verdana" w:hAnsi="Verdana"/>
          <w:sz w:val="20"/>
        </w:rPr>
      </w:pPr>
      <w:r w:rsidRPr="00BE536E">
        <w:rPr>
          <w:rFonts w:ascii="Verdana" w:hAnsi="Verdana"/>
          <w:sz w:val="20"/>
        </w:rPr>
        <w:t xml:space="preserve"> В случае возобновления обслуживания долга по графику.</w:t>
      </w:r>
    </w:p>
    <w:p w14:paraId="7468F70E" w14:textId="77777777" w:rsidR="002A3D95" w:rsidRPr="00BE536E" w:rsidRDefault="002A3D95" w:rsidP="00D05311">
      <w:pPr>
        <w:numPr>
          <w:ilvl w:val="2"/>
          <w:numId w:val="45"/>
        </w:numPr>
        <w:spacing w:after="0" w:line="360" w:lineRule="auto"/>
        <w:ind w:left="0" w:firstLine="709"/>
        <w:jc w:val="both"/>
        <w:rPr>
          <w:rFonts w:ascii="Verdana" w:hAnsi="Verdana"/>
          <w:sz w:val="20"/>
        </w:rPr>
      </w:pPr>
      <w:r w:rsidRPr="00BE536E">
        <w:rPr>
          <w:rFonts w:ascii="Verdana" w:hAnsi="Verdana"/>
          <w:sz w:val="20"/>
        </w:rPr>
        <w:t>В случае получения информации о прекращении уголовного преследования путем оправдательного приговора либо прекращения дела, а также в случае прекращения дела о банкротстве. При этом Управляющая компания обязана провести оценку финансового состояния с учетом известных или предполагаемых условий мирового соглашения.</w:t>
      </w:r>
    </w:p>
    <w:p w14:paraId="79DADA6E" w14:textId="77777777" w:rsidR="002A3D95" w:rsidRPr="00BE536E" w:rsidRDefault="002A3D95" w:rsidP="00D05311">
      <w:pPr>
        <w:numPr>
          <w:ilvl w:val="2"/>
          <w:numId w:val="45"/>
        </w:numPr>
        <w:spacing w:after="0" w:line="360" w:lineRule="auto"/>
        <w:ind w:left="0" w:firstLine="709"/>
        <w:jc w:val="both"/>
        <w:rPr>
          <w:rFonts w:ascii="Verdana" w:eastAsia="Batang" w:hAnsi="Verdana"/>
          <w:sz w:val="20"/>
          <w:szCs w:val="24"/>
        </w:rPr>
      </w:pPr>
      <w:r w:rsidRPr="00BE536E">
        <w:rPr>
          <w:rFonts w:ascii="Verdana" w:hAnsi="Verdana"/>
          <w:sz w:val="20"/>
        </w:rPr>
        <w:t>В случае появления физического лица, объявленного ранее пропавшим без вести, и возобновления обслуживания задолженности.</w:t>
      </w:r>
    </w:p>
    <w:p w14:paraId="5BFAA206" w14:textId="77777777" w:rsidR="002A3D95" w:rsidRPr="00BE536E" w:rsidRDefault="002A3D95" w:rsidP="002A3D95">
      <w:pPr>
        <w:tabs>
          <w:tab w:val="left" w:pos="993"/>
        </w:tabs>
        <w:spacing w:line="360" w:lineRule="auto"/>
        <w:ind w:firstLine="709"/>
        <w:jc w:val="both"/>
        <w:rPr>
          <w:rFonts w:ascii="Verdana" w:eastAsia="Batang" w:hAnsi="Verdana"/>
          <w:i/>
          <w:sz w:val="20"/>
        </w:rPr>
      </w:pPr>
      <w:r w:rsidRPr="00BE536E">
        <w:rPr>
          <w:rFonts w:ascii="Verdana" w:eastAsia="Batang" w:hAnsi="Verdana"/>
          <w:i/>
          <w:sz w:val="20"/>
        </w:rPr>
        <w:t>Информация о выявленных событиях, приравниваемых к дефолту и о выходе контрагента из состояния дефолта, предоставляется Управляющей компанией в Специализированный депозитарий не позднее следующего рабочего дня за датой возникновения такого события (при условии, что информация о возникновении такого события прямо или косвенно наблюдаема Управляющей компанией).</w:t>
      </w:r>
    </w:p>
    <w:p w14:paraId="3926A7F5" w14:textId="77777777" w:rsidR="002A3D95" w:rsidRPr="00BE536E" w:rsidRDefault="002A3D95" w:rsidP="002A3D95">
      <w:pPr>
        <w:tabs>
          <w:tab w:val="left" w:pos="993"/>
        </w:tabs>
        <w:spacing w:line="360" w:lineRule="auto"/>
        <w:ind w:firstLine="709"/>
        <w:jc w:val="both"/>
        <w:rPr>
          <w:rFonts w:ascii="Verdana" w:eastAsia="Batang" w:hAnsi="Verdana"/>
          <w:i/>
          <w:sz w:val="20"/>
        </w:rPr>
      </w:pPr>
    </w:p>
    <w:p w14:paraId="1B062B70" w14:textId="77777777" w:rsidR="002A3D95" w:rsidRPr="00BE536E" w:rsidRDefault="002A3D95" w:rsidP="002A3D95">
      <w:pPr>
        <w:pStyle w:val="a0"/>
        <w:numPr>
          <w:ilvl w:val="0"/>
          <w:numId w:val="0"/>
        </w:numPr>
        <w:spacing w:before="0" w:after="0" w:line="360" w:lineRule="auto"/>
        <w:ind w:left="432"/>
        <w:jc w:val="both"/>
        <w:rPr>
          <w:rFonts w:ascii="Verdana" w:hAnsi="Verdana"/>
          <w:sz w:val="20"/>
        </w:rPr>
      </w:pPr>
      <w:r w:rsidRPr="00BE536E">
        <w:rPr>
          <w:rFonts w:ascii="Verdana" w:hAnsi="Verdana"/>
          <w:sz w:val="20"/>
        </w:rPr>
        <w:t>Раздел 4. Порядок определения PD по задолженности</w:t>
      </w:r>
      <w:r w:rsidR="00707466" w:rsidRPr="00BE536E">
        <w:rPr>
          <w:rFonts w:ascii="Verdana" w:hAnsi="Verdana"/>
          <w:sz w:val="20"/>
        </w:rPr>
        <w:t xml:space="preserve"> юридических лиц</w:t>
      </w:r>
      <w:r w:rsidRPr="00BE536E">
        <w:rPr>
          <w:rFonts w:ascii="Verdana" w:hAnsi="Verdana"/>
          <w:sz w:val="20"/>
        </w:rPr>
        <w:t>.</w:t>
      </w:r>
    </w:p>
    <w:p w14:paraId="56BD1B76" w14:textId="77777777" w:rsidR="00D12C22" w:rsidRPr="00BE536E" w:rsidRDefault="00D12C22" w:rsidP="00D12C22">
      <w:pPr>
        <w:spacing w:line="360" w:lineRule="auto"/>
        <w:rPr>
          <w:sz w:val="24"/>
          <w:szCs w:val="24"/>
        </w:rPr>
      </w:pPr>
      <w:r w:rsidRPr="00BE536E">
        <w:rPr>
          <w:sz w:val="24"/>
          <w:szCs w:val="24"/>
        </w:rPr>
        <w:t>Этапы определения вероятности дефолта (PD) по задолженности контрагентов:</w:t>
      </w:r>
    </w:p>
    <w:p w14:paraId="2FD36B6A" w14:textId="77777777" w:rsidR="00D12C22" w:rsidRPr="00BE536E" w:rsidRDefault="00D12C22" w:rsidP="00D05311">
      <w:pPr>
        <w:numPr>
          <w:ilvl w:val="0"/>
          <w:numId w:val="83"/>
        </w:numPr>
        <w:suppressAutoHyphens/>
        <w:autoSpaceDE w:val="0"/>
        <w:spacing w:after="0" w:line="360" w:lineRule="auto"/>
        <w:rPr>
          <w:sz w:val="24"/>
          <w:szCs w:val="24"/>
        </w:rPr>
      </w:pPr>
      <w:r w:rsidRPr="00BE536E">
        <w:rPr>
          <w:sz w:val="24"/>
          <w:szCs w:val="24"/>
        </w:rPr>
        <w:lastRenderedPageBreak/>
        <w:t>определяется годовая вероятность дефолта контрагента;</w:t>
      </w:r>
    </w:p>
    <w:p w14:paraId="5CCC8A69" w14:textId="77777777" w:rsidR="00D12C22" w:rsidRPr="00BE536E" w:rsidRDefault="00D12C22" w:rsidP="00D05311">
      <w:pPr>
        <w:numPr>
          <w:ilvl w:val="0"/>
          <w:numId w:val="83"/>
        </w:numPr>
        <w:suppressAutoHyphens/>
        <w:autoSpaceDE w:val="0"/>
        <w:spacing w:after="0" w:line="360" w:lineRule="auto"/>
        <w:rPr>
          <w:sz w:val="24"/>
          <w:szCs w:val="24"/>
        </w:rPr>
      </w:pPr>
      <w:r w:rsidRPr="00BE536E">
        <w:rPr>
          <w:sz w:val="24"/>
          <w:szCs w:val="24"/>
        </w:rPr>
        <w:t>при необходимости осуществляется корректировка на обесценение;</w:t>
      </w:r>
    </w:p>
    <w:p w14:paraId="2DE6D43C" w14:textId="77777777" w:rsidR="00D12C22" w:rsidRPr="00BE536E" w:rsidRDefault="00D12C22" w:rsidP="00D05311">
      <w:pPr>
        <w:numPr>
          <w:ilvl w:val="0"/>
          <w:numId w:val="83"/>
        </w:numPr>
        <w:suppressAutoHyphens/>
        <w:autoSpaceDE w:val="0"/>
        <w:spacing w:after="0" w:line="360" w:lineRule="auto"/>
        <w:rPr>
          <w:sz w:val="24"/>
          <w:szCs w:val="24"/>
        </w:rPr>
      </w:pPr>
      <w:r w:rsidRPr="00BE536E">
        <w:rPr>
          <w:sz w:val="24"/>
          <w:szCs w:val="24"/>
        </w:rPr>
        <w:t>в предусмотренных настоящим Разделом случаях осуществляется дополнительная корректировка на срок денежного потока, к которому будет применяться данная вероятность дефолта</w:t>
      </w:r>
    </w:p>
    <w:p w14:paraId="0B68BF77" w14:textId="77777777" w:rsidR="00D12C22" w:rsidRPr="00BE536E" w:rsidRDefault="00D12C22" w:rsidP="002A3D95">
      <w:pPr>
        <w:pStyle w:val="a0"/>
        <w:numPr>
          <w:ilvl w:val="0"/>
          <w:numId w:val="0"/>
        </w:numPr>
        <w:spacing w:before="0" w:after="0" w:line="360" w:lineRule="auto"/>
        <w:ind w:left="432"/>
        <w:jc w:val="both"/>
        <w:rPr>
          <w:rFonts w:ascii="Verdana" w:hAnsi="Verdana"/>
          <w:sz w:val="20"/>
        </w:rPr>
      </w:pPr>
    </w:p>
    <w:p w14:paraId="4C85FE83" w14:textId="77777777" w:rsidR="002A3D95" w:rsidRPr="00BE536E" w:rsidRDefault="002A3D95" w:rsidP="002A3D95">
      <w:pPr>
        <w:spacing w:after="60"/>
        <w:rPr>
          <w:rFonts w:ascii="Times New Roman" w:hAnsi="Times New Roman"/>
          <w:szCs w:val="24"/>
        </w:rPr>
      </w:pPr>
    </w:p>
    <w:p w14:paraId="4B81CFF7" w14:textId="77777777" w:rsidR="002A3D95" w:rsidRPr="00BE536E" w:rsidRDefault="002A3D95" w:rsidP="00D05311">
      <w:pPr>
        <w:numPr>
          <w:ilvl w:val="1"/>
          <w:numId w:val="44"/>
        </w:numPr>
        <w:spacing w:after="0" w:line="360" w:lineRule="auto"/>
        <w:ind w:left="426" w:firstLine="141"/>
        <w:jc w:val="both"/>
        <w:rPr>
          <w:rFonts w:ascii="Verdana" w:hAnsi="Verdana"/>
          <w:b/>
          <w:sz w:val="20"/>
        </w:rPr>
      </w:pPr>
      <w:r w:rsidRPr="00BE536E">
        <w:rPr>
          <w:rFonts w:ascii="Verdana" w:hAnsi="Verdana"/>
          <w:b/>
          <w:sz w:val="20"/>
        </w:rPr>
        <w:t>Вероятность дефолта (PD) определяется следующими методами:</w:t>
      </w:r>
    </w:p>
    <w:p w14:paraId="4E14118B" w14:textId="77777777" w:rsidR="002A3D95" w:rsidRPr="00BE536E" w:rsidRDefault="002A3D95" w:rsidP="00D05311">
      <w:pPr>
        <w:numPr>
          <w:ilvl w:val="2"/>
          <w:numId w:val="44"/>
        </w:numPr>
        <w:spacing w:after="0" w:line="360" w:lineRule="auto"/>
        <w:ind w:left="0" w:firstLine="709"/>
        <w:jc w:val="both"/>
        <w:rPr>
          <w:rFonts w:ascii="Verdana" w:hAnsi="Verdana"/>
          <w:sz w:val="20"/>
        </w:rPr>
      </w:pPr>
      <w:r w:rsidRPr="00BE536E">
        <w:rPr>
          <w:rFonts w:ascii="Verdana" w:hAnsi="Verdana"/>
          <w:sz w:val="20"/>
        </w:rPr>
        <w:t>В случае наличия у контрагента рейтинга одного из международный рейтинговых агентств  - на основании публичных доступных данных по вероятностям дефолта (PD) рейтингового агентства Moody's, публикуемого на сайте агентства в составе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w:t>
      </w:r>
      <w:r w:rsidRPr="00BE536E">
        <w:rPr>
          <w:rFonts w:ascii="Verdana" w:hAnsi="Verdana"/>
          <w:sz w:val="20"/>
          <w:lang w:val="en-US"/>
        </w:rPr>
        <w:t>g</w:t>
      </w:r>
      <w:r w:rsidRPr="00BE536E">
        <w:rPr>
          <w:rFonts w:ascii="Verdana" w:hAnsi="Verdana"/>
          <w:sz w:val="20"/>
        </w:rPr>
        <w:t xml:space="preserve">» с 1998 года. </w:t>
      </w:r>
      <w:r w:rsidR="009509E2" w:rsidRPr="00BE536E">
        <w:rPr>
          <w:sz w:val="24"/>
          <w:szCs w:val="24"/>
        </w:rPr>
        <w:t xml:space="preserve">Выбирается значение </w:t>
      </w:r>
      <w:r w:rsidR="009509E2" w:rsidRPr="00BE536E">
        <w:rPr>
          <w:sz w:val="24"/>
          <w:szCs w:val="24"/>
          <w:lang w:val="en-US"/>
        </w:rPr>
        <w:t>PD</w:t>
      </w:r>
      <w:r w:rsidR="009509E2" w:rsidRPr="00BE536E">
        <w:rPr>
          <w:sz w:val="24"/>
          <w:szCs w:val="24"/>
        </w:rPr>
        <w:t xml:space="preserve"> для срока 1 год</w:t>
      </w:r>
      <w:r w:rsidRPr="00BE536E">
        <w:rPr>
          <w:rFonts w:ascii="Verdana" w:hAnsi="Verdana"/>
          <w:sz w:val="20"/>
        </w:rPr>
        <w:t>;</w:t>
      </w:r>
    </w:p>
    <w:p w14:paraId="72F1E107" w14:textId="77777777" w:rsidR="002A3D95" w:rsidRPr="00BE536E" w:rsidRDefault="002A3D95" w:rsidP="00D05311">
      <w:pPr>
        <w:numPr>
          <w:ilvl w:val="3"/>
          <w:numId w:val="44"/>
        </w:numPr>
        <w:spacing w:after="0" w:line="360" w:lineRule="auto"/>
        <w:ind w:left="0" w:firstLine="709"/>
        <w:jc w:val="both"/>
        <w:rPr>
          <w:rFonts w:ascii="Verdana" w:hAnsi="Verdana"/>
          <w:sz w:val="20"/>
        </w:rPr>
      </w:pPr>
      <w:r w:rsidRPr="00BE536E">
        <w:rPr>
          <w:rFonts w:ascii="Verdana" w:hAnsi="Verdana"/>
          <w:sz w:val="20"/>
        </w:rPr>
        <w:t xml:space="preserve">Для целей определения используемого рейтинга контрагента / эмитента анализируются рейтинги, присвоенные международными рейтинговыми агентствами (МРА) </w:t>
      </w:r>
      <w:r w:rsidRPr="00BE536E">
        <w:rPr>
          <w:rFonts w:ascii="Verdana" w:hAnsi="Verdana"/>
          <w:sz w:val="20"/>
          <w:lang w:val="en-US"/>
        </w:rPr>
        <w:t>S</w:t>
      </w:r>
      <w:r w:rsidRPr="00BE536E">
        <w:rPr>
          <w:rFonts w:ascii="Verdana" w:hAnsi="Verdana"/>
          <w:sz w:val="20"/>
        </w:rPr>
        <w:t>&amp;</w:t>
      </w:r>
      <w:r w:rsidRPr="00BE536E">
        <w:rPr>
          <w:rFonts w:ascii="Verdana" w:hAnsi="Verdana"/>
          <w:sz w:val="20"/>
          <w:lang w:val="en-US"/>
        </w:rPr>
        <w:t>P</w:t>
      </w:r>
      <w:r w:rsidRPr="00BE536E">
        <w:rPr>
          <w:rFonts w:ascii="Verdana" w:hAnsi="Verdana"/>
          <w:sz w:val="20"/>
        </w:rPr>
        <w:t xml:space="preserve">, </w:t>
      </w:r>
      <w:r w:rsidRPr="00BE536E">
        <w:rPr>
          <w:rFonts w:ascii="Verdana" w:hAnsi="Verdana"/>
          <w:sz w:val="20"/>
          <w:lang w:val="en-US"/>
        </w:rPr>
        <w:t>Moody</w:t>
      </w:r>
      <w:r w:rsidRPr="00BE536E">
        <w:rPr>
          <w:rFonts w:ascii="Verdana" w:hAnsi="Verdana"/>
          <w:sz w:val="20"/>
        </w:rPr>
        <w:t>’</w:t>
      </w:r>
      <w:r w:rsidRPr="00BE536E">
        <w:rPr>
          <w:rFonts w:ascii="Verdana" w:hAnsi="Verdana"/>
          <w:sz w:val="20"/>
          <w:lang w:val="en-US"/>
        </w:rPr>
        <w:t>s</w:t>
      </w:r>
      <w:r w:rsidRPr="00BE536E">
        <w:rPr>
          <w:rFonts w:ascii="Verdana" w:hAnsi="Verdana"/>
          <w:sz w:val="20"/>
        </w:rPr>
        <w:t xml:space="preserve">, </w:t>
      </w:r>
      <w:r w:rsidRPr="00BE536E">
        <w:rPr>
          <w:rFonts w:ascii="Verdana" w:hAnsi="Verdana"/>
          <w:sz w:val="20"/>
          <w:lang w:val="en-US"/>
        </w:rPr>
        <w:t>Fitch</w:t>
      </w:r>
      <w:r w:rsidRPr="00BE536E">
        <w:rPr>
          <w:rFonts w:ascii="Verdana" w:hAnsi="Verdana"/>
          <w:sz w:val="20"/>
        </w:rPr>
        <w:t>.</w:t>
      </w:r>
    </w:p>
    <w:p w14:paraId="4452BA16" w14:textId="77777777" w:rsidR="002A3D95" w:rsidRPr="00BE536E" w:rsidRDefault="002A3D95" w:rsidP="00D05311">
      <w:pPr>
        <w:numPr>
          <w:ilvl w:val="3"/>
          <w:numId w:val="44"/>
        </w:numPr>
        <w:spacing w:after="0" w:line="360" w:lineRule="auto"/>
        <w:ind w:left="0" w:firstLine="709"/>
        <w:jc w:val="both"/>
        <w:rPr>
          <w:rFonts w:ascii="Verdana" w:hAnsi="Verdana"/>
          <w:sz w:val="20"/>
        </w:rPr>
      </w:pPr>
      <w:r w:rsidRPr="00BE536E">
        <w:rPr>
          <w:rFonts w:ascii="Verdana" w:hAnsi="Verdana"/>
          <w:sz w:val="20"/>
        </w:rPr>
        <w:t>В случае наличия рейтинга, присвоенного несколькими рейтинговыми агентствами, выбирается наиболее актуальный рейтинг;</w:t>
      </w:r>
    </w:p>
    <w:p w14:paraId="34B9B13D" w14:textId="77777777" w:rsidR="002A3D95" w:rsidRPr="00BE536E" w:rsidRDefault="002A3D95" w:rsidP="00D05311">
      <w:pPr>
        <w:numPr>
          <w:ilvl w:val="3"/>
          <w:numId w:val="44"/>
        </w:numPr>
        <w:spacing w:after="0" w:line="360" w:lineRule="auto"/>
        <w:ind w:left="0" w:firstLine="709"/>
        <w:jc w:val="both"/>
        <w:rPr>
          <w:rFonts w:ascii="Verdana" w:hAnsi="Verdana"/>
          <w:sz w:val="20"/>
        </w:rPr>
      </w:pPr>
      <w:r w:rsidRPr="00BE536E">
        <w:rPr>
          <w:rFonts w:ascii="Verdana" w:hAnsi="Verdana"/>
          <w:sz w:val="20"/>
        </w:rPr>
        <w:t xml:space="preserve">Если отобранный рейтинг присвоен рейтинговым агентством </w:t>
      </w:r>
      <w:r w:rsidRPr="00BE536E">
        <w:rPr>
          <w:rFonts w:ascii="Verdana" w:hAnsi="Verdana"/>
          <w:sz w:val="20"/>
          <w:lang w:val="en-US"/>
        </w:rPr>
        <w:t>S</w:t>
      </w:r>
      <w:r w:rsidRPr="00BE536E">
        <w:rPr>
          <w:rFonts w:ascii="Verdana" w:hAnsi="Verdana"/>
          <w:sz w:val="20"/>
        </w:rPr>
        <w:t>&amp;</w:t>
      </w:r>
      <w:r w:rsidRPr="00BE536E">
        <w:rPr>
          <w:rFonts w:ascii="Verdana" w:hAnsi="Verdana"/>
          <w:sz w:val="20"/>
          <w:lang w:val="en-US"/>
        </w:rPr>
        <w:t>P</w:t>
      </w:r>
      <w:r w:rsidRPr="00BE536E">
        <w:rPr>
          <w:rFonts w:ascii="Verdana" w:hAnsi="Verdana"/>
          <w:sz w:val="20"/>
        </w:rPr>
        <w:t xml:space="preserve"> или </w:t>
      </w:r>
      <w:r w:rsidRPr="00BE536E">
        <w:rPr>
          <w:rFonts w:ascii="Verdana" w:hAnsi="Verdana"/>
          <w:sz w:val="20"/>
          <w:lang w:val="en-US"/>
        </w:rPr>
        <w:t>Fitch</w:t>
      </w:r>
      <w:r w:rsidRPr="00BE536E">
        <w:rPr>
          <w:rFonts w:ascii="Verdana" w:hAnsi="Verdana"/>
          <w:sz w:val="20"/>
        </w:rPr>
        <w:t xml:space="preserve">, то в соответствии с приложением  Д определяется соответствующий ему рейтинг от агентства </w:t>
      </w:r>
      <w:r w:rsidRPr="00BE536E">
        <w:rPr>
          <w:rFonts w:ascii="Verdana" w:hAnsi="Verdana"/>
          <w:sz w:val="20"/>
          <w:lang w:val="en-US"/>
        </w:rPr>
        <w:t>Moody</w:t>
      </w:r>
      <w:r w:rsidRPr="00BE536E">
        <w:rPr>
          <w:rFonts w:ascii="Verdana" w:hAnsi="Verdana"/>
          <w:sz w:val="20"/>
        </w:rPr>
        <w:t>’</w:t>
      </w:r>
      <w:r w:rsidRPr="00BE536E">
        <w:rPr>
          <w:rFonts w:ascii="Verdana" w:hAnsi="Verdana"/>
          <w:sz w:val="20"/>
          <w:lang w:val="en-US"/>
        </w:rPr>
        <w:t>s</w:t>
      </w:r>
      <w:r w:rsidRPr="00BE536E">
        <w:rPr>
          <w:rFonts w:ascii="Verdana" w:hAnsi="Verdana"/>
          <w:sz w:val="20"/>
        </w:rPr>
        <w:t>;</w:t>
      </w:r>
    </w:p>
    <w:p w14:paraId="52D1436E" w14:textId="77777777" w:rsidR="002A3D95" w:rsidRPr="00BE536E" w:rsidRDefault="002A3D95" w:rsidP="00D05311">
      <w:pPr>
        <w:numPr>
          <w:ilvl w:val="3"/>
          <w:numId w:val="44"/>
        </w:numPr>
        <w:spacing w:after="0" w:line="360" w:lineRule="auto"/>
        <w:ind w:left="0" w:firstLine="709"/>
        <w:jc w:val="both"/>
        <w:rPr>
          <w:rFonts w:ascii="Verdana" w:hAnsi="Verdana"/>
          <w:sz w:val="20"/>
        </w:rPr>
      </w:pPr>
      <w:r w:rsidRPr="00BE536E">
        <w:rPr>
          <w:rFonts w:ascii="Verdana" w:hAnsi="Verdana"/>
          <w:sz w:val="20"/>
        </w:rPr>
        <w:t>Для отобранного рейтинга используется вероятность дефолта в соответствии с п. 4.1.1.</w:t>
      </w:r>
    </w:p>
    <w:p w14:paraId="4114BDBC" w14:textId="77777777" w:rsidR="002A3D95" w:rsidRPr="00BE536E" w:rsidRDefault="002A3D95" w:rsidP="00D05311">
      <w:pPr>
        <w:numPr>
          <w:ilvl w:val="3"/>
          <w:numId w:val="44"/>
        </w:numPr>
        <w:spacing w:after="0" w:line="360" w:lineRule="auto"/>
        <w:ind w:left="0" w:firstLine="709"/>
        <w:jc w:val="both"/>
        <w:rPr>
          <w:rFonts w:ascii="Verdana" w:hAnsi="Verdana"/>
          <w:sz w:val="20"/>
        </w:rPr>
      </w:pPr>
      <w:r w:rsidRPr="00BE536E">
        <w:rPr>
          <w:rFonts w:ascii="Verdana" w:hAnsi="Verdana"/>
          <w:sz w:val="20"/>
        </w:rPr>
        <w:t xml:space="preserve">В случае отсутствия рейтинга, присвоенного МРА, используются рейтинги, присвоенные российскими рейтинговыми агентствами Эксперт РА и АКРА с последующим отбором рейтинга и приведением его к шкале </w:t>
      </w:r>
      <w:r w:rsidRPr="00BE536E">
        <w:rPr>
          <w:rFonts w:ascii="Verdana" w:hAnsi="Verdana"/>
          <w:sz w:val="20"/>
          <w:lang w:val="en-US"/>
        </w:rPr>
        <w:t>Moody</w:t>
      </w:r>
      <w:r w:rsidRPr="00BE536E">
        <w:rPr>
          <w:rFonts w:ascii="Verdana" w:hAnsi="Verdana"/>
          <w:sz w:val="20"/>
        </w:rPr>
        <w:t>;</w:t>
      </w:r>
      <w:r w:rsidRPr="00BE536E">
        <w:rPr>
          <w:rFonts w:ascii="Verdana" w:hAnsi="Verdana"/>
          <w:sz w:val="20"/>
          <w:lang w:val="en-US"/>
        </w:rPr>
        <w:t>s</w:t>
      </w:r>
      <w:r w:rsidRPr="00BE536E">
        <w:rPr>
          <w:rFonts w:ascii="Verdana" w:hAnsi="Verdana"/>
          <w:sz w:val="20"/>
        </w:rPr>
        <w:t xml:space="preserve"> в соответствии п. 4.1.1.2 – 4.1.1.5.</w:t>
      </w:r>
    </w:p>
    <w:p w14:paraId="53BFA8EA" w14:textId="77777777" w:rsidR="002A3D95" w:rsidRPr="00BE536E" w:rsidRDefault="002A3D95" w:rsidP="00D05311">
      <w:pPr>
        <w:numPr>
          <w:ilvl w:val="2"/>
          <w:numId w:val="44"/>
        </w:numPr>
        <w:spacing w:after="0" w:line="360" w:lineRule="auto"/>
        <w:ind w:left="0" w:firstLine="709"/>
        <w:jc w:val="both"/>
        <w:rPr>
          <w:rFonts w:ascii="Verdana" w:hAnsi="Verdana"/>
          <w:sz w:val="20"/>
        </w:rPr>
      </w:pPr>
      <w:r w:rsidRPr="00BE536E">
        <w:rPr>
          <w:rFonts w:ascii="Verdana" w:hAnsi="Verdana"/>
          <w:sz w:val="20"/>
        </w:rPr>
        <w:t>В случае отсутствия у контрагента рейтинга и наличия выпусков облигаций -   по оценке соответствия уровню рейтинга через кредитный спрэд облигаций данного контрагента, описанный в Приложении В.</w:t>
      </w:r>
    </w:p>
    <w:p w14:paraId="7AC00E1E" w14:textId="77777777" w:rsidR="002A3D95" w:rsidRPr="00BE536E" w:rsidRDefault="002A3D95" w:rsidP="002A3D95">
      <w:pPr>
        <w:spacing w:line="360" w:lineRule="auto"/>
        <w:ind w:left="709"/>
        <w:rPr>
          <w:rFonts w:ascii="Verdana" w:hAnsi="Verdana"/>
          <w:sz w:val="20"/>
        </w:rPr>
      </w:pPr>
    </w:p>
    <w:p w14:paraId="34EA916E" w14:textId="77777777" w:rsidR="002A3D95" w:rsidRPr="00BE536E" w:rsidRDefault="002A3D95" w:rsidP="00D05311">
      <w:pPr>
        <w:numPr>
          <w:ilvl w:val="2"/>
          <w:numId w:val="44"/>
        </w:numPr>
        <w:spacing w:after="0" w:line="360" w:lineRule="auto"/>
        <w:ind w:left="0" w:firstLine="709"/>
        <w:jc w:val="both"/>
        <w:rPr>
          <w:rFonts w:ascii="Verdana" w:hAnsi="Verdana"/>
          <w:b/>
          <w:sz w:val="20"/>
        </w:rPr>
      </w:pPr>
      <w:r w:rsidRPr="00BE536E">
        <w:rPr>
          <w:rFonts w:ascii="Verdana" w:hAnsi="Verdana"/>
          <w:b/>
          <w:sz w:val="20"/>
        </w:rPr>
        <w:t>В случае отсутствия у контрагента рейтинга и отсутствия выпусков облигаций в следующем порядке:</w:t>
      </w:r>
    </w:p>
    <w:p w14:paraId="25D9FE9B" w14:textId="77777777" w:rsidR="002A3D95" w:rsidRPr="00BE536E" w:rsidRDefault="002A3D95" w:rsidP="00D05311">
      <w:pPr>
        <w:numPr>
          <w:ilvl w:val="3"/>
          <w:numId w:val="44"/>
        </w:numPr>
        <w:spacing w:after="0" w:line="360" w:lineRule="auto"/>
        <w:ind w:left="0" w:firstLine="709"/>
        <w:jc w:val="both"/>
        <w:rPr>
          <w:rFonts w:ascii="Verdana" w:hAnsi="Verdana"/>
          <w:sz w:val="20"/>
        </w:rPr>
      </w:pPr>
      <w:r w:rsidRPr="00BE536E">
        <w:rPr>
          <w:rFonts w:ascii="Verdana" w:hAnsi="Verdana"/>
          <w:sz w:val="20"/>
        </w:rPr>
        <w:lastRenderedPageBreak/>
        <w:t>Для крупных контрагентов (выручка 4 млрд руб. и более в год) применяется средняя вероятность дефолта для Speculative Grade от агентства Moody’s на основании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w:t>
      </w:r>
      <w:r w:rsidRPr="00BE536E">
        <w:rPr>
          <w:rFonts w:ascii="Verdana" w:hAnsi="Verdana"/>
          <w:sz w:val="20"/>
          <w:lang w:val="en-US"/>
        </w:rPr>
        <w:t>g</w:t>
      </w:r>
      <w:r w:rsidRPr="00BE536E">
        <w:rPr>
          <w:rFonts w:ascii="Verdana" w:hAnsi="Verdana"/>
          <w:sz w:val="20"/>
        </w:rPr>
        <w:t xml:space="preserve">» с 1998 года. Используется значение </w:t>
      </w:r>
      <w:r w:rsidRPr="00BE536E">
        <w:rPr>
          <w:rFonts w:ascii="Verdana" w:hAnsi="Verdana"/>
          <w:sz w:val="20"/>
          <w:lang w:val="en-US"/>
        </w:rPr>
        <w:t>PD</w:t>
      </w:r>
      <w:r w:rsidRPr="00BE536E">
        <w:rPr>
          <w:rFonts w:ascii="Verdana" w:hAnsi="Verdana"/>
          <w:sz w:val="20"/>
        </w:rPr>
        <w:t xml:space="preserve"> </w:t>
      </w:r>
      <w:r w:rsidR="008C3CF5" w:rsidRPr="00BE536E">
        <w:rPr>
          <w:sz w:val="24"/>
          <w:szCs w:val="24"/>
        </w:rPr>
        <w:t>для срока</w:t>
      </w:r>
      <w:r w:rsidR="008C3CF5" w:rsidRPr="00BE536E" w:rsidDel="008C3CF5">
        <w:rPr>
          <w:rFonts w:ascii="Verdana" w:hAnsi="Verdana"/>
          <w:sz w:val="20"/>
        </w:rPr>
        <w:t xml:space="preserve"> </w:t>
      </w:r>
      <w:r w:rsidRPr="00BE536E">
        <w:rPr>
          <w:rFonts w:ascii="Verdana" w:hAnsi="Verdana"/>
          <w:sz w:val="20"/>
        </w:rPr>
        <w:t>1 год;</w:t>
      </w:r>
    </w:p>
    <w:p w14:paraId="37094B63" w14:textId="77777777" w:rsidR="002A3D95" w:rsidRPr="00BE536E" w:rsidRDefault="002A3D95" w:rsidP="00D05311">
      <w:pPr>
        <w:numPr>
          <w:ilvl w:val="3"/>
          <w:numId w:val="44"/>
        </w:numPr>
        <w:spacing w:after="0" w:line="360" w:lineRule="auto"/>
        <w:ind w:left="0" w:firstLine="709"/>
        <w:jc w:val="both"/>
        <w:rPr>
          <w:rFonts w:ascii="Verdana" w:hAnsi="Verdana"/>
          <w:sz w:val="20"/>
        </w:rPr>
      </w:pPr>
      <w:r w:rsidRPr="00BE536E">
        <w:rPr>
          <w:rFonts w:ascii="Verdana" w:hAnsi="Verdana"/>
          <w:sz w:val="20"/>
        </w:rPr>
        <w:t>Для предприятий МСБ (малый и средний бизнес) применяется статистический усредненный показатель дефолтов в зависимости от отрасли, приведенный в Приложении Г. Юридическое лицо относится к категории МСБ в случае, если на дату оценки числится в реестре МСБ</w:t>
      </w:r>
      <w:r w:rsidRPr="00BE536E">
        <w:rPr>
          <w:rStyle w:val="ab"/>
          <w:rFonts w:ascii="Verdana" w:hAnsi="Verdana"/>
        </w:rPr>
        <w:footnoteReference w:id="24"/>
      </w:r>
      <w:r w:rsidRPr="00BE536E">
        <w:rPr>
          <w:rFonts w:ascii="Verdana" w:hAnsi="Verdana"/>
          <w:sz w:val="20"/>
        </w:rPr>
        <w:t xml:space="preserve"> или  если </w:t>
      </w:r>
      <w:r w:rsidR="00BE4FA6" w:rsidRPr="00BE536E">
        <w:rPr>
          <w:rFonts w:ascii="Verdana" w:hAnsi="Verdana"/>
          <w:sz w:val="20"/>
        </w:rPr>
        <w:t>его</w:t>
      </w:r>
      <w:r w:rsidRPr="00BE536E">
        <w:rPr>
          <w:rFonts w:ascii="Verdana" w:hAnsi="Verdana"/>
          <w:sz w:val="20"/>
        </w:rPr>
        <w:t xml:space="preserve"> выручка составляет менее 4 млрд. руб. в год.</w:t>
      </w:r>
    </w:p>
    <w:p w14:paraId="7A9DEEF3" w14:textId="77777777" w:rsidR="002A3D95" w:rsidRPr="00BE536E" w:rsidRDefault="002A3D95" w:rsidP="00D05311">
      <w:pPr>
        <w:numPr>
          <w:ilvl w:val="3"/>
          <w:numId w:val="44"/>
        </w:numPr>
        <w:spacing w:after="0" w:line="360" w:lineRule="auto"/>
        <w:ind w:left="0" w:firstLine="709"/>
        <w:jc w:val="both"/>
        <w:rPr>
          <w:rFonts w:ascii="Verdana" w:hAnsi="Verdana"/>
          <w:sz w:val="20"/>
        </w:rPr>
      </w:pPr>
      <w:r w:rsidRPr="00BE536E">
        <w:rPr>
          <w:rFonts w:ascii="Verdana" w:hAnsi="Verdana"/>
          <w:sz w:val="20"/>
        </w:rPr>
        <w:t xml:space="preserve">В случае, если невозможно идентифицировать принадлежность контрагента к МСБ (например, территориальный департамент финансов, ФГУП, МУП и т.п., не имеющие международного рейтинга), такой контрагент относится к категории крупных заемщиков. </w:t>
      </w:r>
    </w:p>
    <w:p w14:paraId="17E4E640" w14:textId="77777777" w:rsidR="00D703EA" w:rsidRPr="00BE536E" w:rsidRDefault="00D703EA" w:rsidP="00D05311">
      <w:pPr>
        <w:spacing w:after="0" w:line="360" w:lineRule="auto"/>
        <w:ind w:left="709"/>
        <w:jc w:val="both"/>
        <w:rPr>
          <w:rFonts w:ascii="Verdana" w:hAnsi="Verdana"/>
          <w:sz w:val="20"/>
        </w:rPr>
      </w:pPr>
    </w:p>
    <w:p w14:paraId="4361F666" w14:textId="77777777" w:rsidR="00D703EA" w:rsidRPr="00BE536E" w:rsidRDefault="00D703EA" w:rsidP="00D05311">
      <w:pPr>
        <w:numPr>
          <w:ilvl w:val="1"/>
          <w:numId w:val="44"/>
        </w:numPr>
        <w:spacing w:after="0" w:line="360" w:lineRule="auto"/>
        <w:ind w:left="0" w:firstLine="709"/>
        <w:jc w:val="both"/>
        <w:rPr>
          <w:rFonts w:ascii="Verdana" w:hAnsi="Verdana"/>
          <w:b/>
          <w:sz w:val="20"/>
          <w:szCs w:val="20"/>
        </w:rPr>
      </w:pPr>
      <w:bookmarkStart w:id="18" w:name="_Hlk75287316"/>
      <w:r w:rsidRPr="00BE536E">
        <w:rPr>
          <w:rFonts w:ascii="Verdana" w:hAnsi="Verdana"/>
          <w:b/>
          <w:sz w:val="20"/>
          <w:szCs w:val="20"/>
        </w:rPr>
        <w:t>Корректировка вероятности дефолта в отношении обесцененной задолженности, не находящейся в дефолте</w:t>
      </w:r>
      <w:bookmarkEnd w:id="18"/>
      <w:r w:rsidRPr="00BE536E">
        <w:rPr>
          <w:rFonts w:ascii="Verdana" w:hAnsi="Verdana"/>
          <w:b/>
          <w:sz w:val="20"/>
          <w:szCs w:val="20"/>
        </w:rPr>
        <w:t>.</w:t>
      </w:r>
    </w:p>
    <w:p w14:paraId="20367608" w14:textId="77777777" w:rsidR="00D703EA" w:rsidRPr="00BE536E" w:rsidRDefault="00D703EA" w:rsidP="00D05311">
      <w:pPr>
        <w:numPr>
          <w:ilvl w:val="2"/>
          <w:numId w:val="44"/>
        </w:numPr>
        <w:autoSpaceDE w:val="0"/>
        <w:autoSpaceDN w:val="0"/>
        <w:spacing w:after="0" w:line="360" w:lineRule="auto"/>
        <w:ind w:left="1004" w:hanging="862"/>
        <w:jc w:val="both"/>
        <w:rPr>
          <w:rFonts w:ascii="Verdana" w:hAnsi="Verdana"/>
          <w:sz w:val="20"/>
          <w:szCs w:val="20"/>
        </w:rPr>
      </w:pPr>
      <w:r w:rsidRPr="00BE536E">
        <w:rPr>
          <w:rFonts w:ascii="Verdana" w:hAnsi="Verdana"/>
          <w:sz w:val="20"/>
          <w:szCs w:val="20"/>
        </w:rPr>
        <w:t>Для обесцененных непросроченных денежных потоков корректировка осуществляется в следующем порядке:</w:t>
      </w:r>
    </w:p>
    <w:p w14:paraId="645AD59D" w14:textId="77777777" w:rsidR="00D703EA" w:rsidRPr="00BE536E" w:rsidRDefault="00D703EA" w:rsidP="00D05311">
      <w:pPr>
        <w:numPr>
          <w:ilvl w:val="3"/>
          <w:numId w:val="44"/>
        </w:numPr>
        <w:spacing w:after="0" w:line="360" w:lineRule="auto"/>
        <w:ind w:left="1004" w:hanging="862"/>
        <w:jc w:val="both"/>
        <w:rPr>
          <w:rFonts w:ascii="Verdana" w:hAnsi="Verdana"/>
          <w:sz w:val="20"/>
          <w:szCs w:val="20"/>
        </w:rPr>
      </w:pPr>
      <w:r w:rsidRPr="00BE536E">
        <w:rPr>
          <w:rFonts w:ascii="Verdana" w:hAnsi="Verdana"/>
          <w:sz w:val="20"/>
          <w:szCs w:val="20"/>
        </w:rPr>
        <w:t xml:space="preserve"> При использовании рейтингов рейтинговых агентств – путем  понижения рейтинга на 1 ступень. Понижение на большее количество ступеней оформляется мотивированным суждением управляющей компании.</w:t>
      </w:r>
    </w:p>
    <w:p w14:paraId="0BC1D788" w14:textId="77777777" w:rsidR="00D703EA" w:rsidRPr="00BE536E" w:rsidRDefault="00D703EA" w:rsidP="00D05311">
      <w:pPr>
        <w:numPr>
          <w:ilvl w:val="3"/>
          <w:numId w:val="44"/>
        </w:numPr>
        <w:spacing w:after="0" w:line="360" w:lineRule="auto"/>
        <w:ind w:left="1004" w:hanging="862"/>
        <w:jc w:val="both"/>
        <w:rPr>
          <w:rFonts w:ascii="Verdana" w:hAnsi="Verdana"/>
          <w:sz w:val="20"/>
          <w:szCs w:val="20"/>
        </w:rPr>
      </w:pPr>
      <w:r w:rsidRPr="00BE536E">
        <w:rPr>
          <w:rFonts w:ascii="Verdana" w:hAnsi="Verdana"/>
          <w:sz w:val="20"/>
          <w:szCs w:val="20"/>
        </w:rPr>
        <w:t xml:space="preserve"> Для обесцененной задолженности крупных контрагентов используется вероятности дефолта для самой худшей рейтинговой категории (</w:t>
      </w:r>
      <w:r w:rsidRPr="00BE536E">
        <w:rPr>
          <w:rFonts w:ascii="Verdana" w:hAnsi="Verdana"/>
          <w:sz w:val="20"/>
          <w:szCs w:val="20"/>
          <w:lang w:val="en-US"/>
        </w:rPr>
        <w:t>Ca</w:t>
      </w:r>
      <w:r w:rsidRPr="00BE536E">
        <w:rPr>
          <w:rFonts w:ascii="Verdana" w:hAnsi="Verdana"/>
          <w:sz w:val="20"/>
          <w:szCs w:val="20"/>
        </w:rPr>
        <w:t>-</w:t>
      </w:r>
      <w:r w:rsidRPr="00BE536E">
        <w:rPr>
          <w:rFonts w:ascii="Verdana" w:hAnsi="Verdana"/>
          <w:sz w:val="20"/>
          <w:szCs w:val="20"/>
          <w:lang w:val="en-US"/>
        </w:rPr>
        <w:t>C</w:t>
      </w:r>
      <w:r w:rsidRPr="00BE536E">
        <w:rPr>
          <w:rFonts w:ascii="Verdana" w:hAnsi="Verdana"/>
          <w:sz w:val="20"/>
          <w:szCs w:val="20"/>
        </w:rPr>
        <w:t>).</w:t>
      </w:r>
    </w:p>
    <w:p w14:paraId="26763AAC" w14:textId="77777777" w:rsidR="00D703EA" w:rsidRPr="00BE536E" w:rsidRDefault="00D703EA" w:rsidP="00D05311">
      <w:pPr>
        <w:numPr>
          <w:ilvl w:val="3"/>
          <w:numId w:val="44"/>
        </w:numPr>
        <w:spacing w:after="0" w:line="360" w:lineRule="auto"/>
        <w:ind w:left="1004" w:hanging="862"/>
        <w:jc w:val="both"/>
        <w:rPr>
          <w:rFonts w:ascii="Verdana" w:hAnsi="Verdana"/>
          <w:sz w:val="20"/>
          <w:szCs w:val="20"/>
        </w:rPr>
      </w:pPr>
      <w:r w:rsidRPr="00BE536E">
        <w:rPr>
          <w:rFonts w:ascii="Verdana" w:hAnsi="Verdana"/>
          <w:sz w:val="20"/>
          <w:szCs w:val="20"/>
        </w:rPr>
        <w:t xml:space="preserve"> По обесцененным обязательствам контрагентов-физических лиц применяется CoR, рассчитанный для стадии 2. </w:t>
      </w:r>
    </w:p>
    <w:p w14:paraId="20B5B027" w14:textId="77777777" w:rsidR="00D703EA" w:rsidRPr="00BE536E" w:rsidRDefault="00D703EA" w:rsidP="00D05311">
      <w:pPr>
        <w:numPr>
          <w:ilvl w:val="3"/>
          <w:numId w:val="44"/>
        </w:numPr>
        <w:spacing w:after="0" w:line="360" w:lineRule="auto"/>
        <w:ind w:left="1004" w:hanging="862"/>
        <w:jc w:val="both"/>
        <w:rPr>
          <w:rFonts w:ascii="Verdana" w:hAnsi="Verdana"/>
          <w:sz w:val="20"/>
          <w:szCs w:val="20"/>
        </w:rPr>
      </w:pPr>
      <w:r w:rsidRPr="00BE536E">
        <w:rPr>
          <w:rFonts w:ascii="Verdana" w:hAnsi="Verdana"/>
          <w:sz w:val="20"/>
          <w:szCs w:val="20"/>
        </w:rPr>
        <w:t xml:space="preserve"> При оценке для МСБ, для которых не описан способ расчета, вероятность дефолта берется равной средней величине между 1 и вероятностью дефолта для не обесцененного актива/задолженности с округлением до 4 знаков после запятой.</w:t>
      </w:r>
    </w:p>
    <w:p w14:paraId="75338F92" w14:textId="77777777" w:rsidR="00D703EA" w:rsidRPr="00BE536E" w:rsidRDefault="00D703EA" w:rsidP="00D05311">
      <w:pPr>
        <w:numPr>
          <w:ilvl w:val="2"/>
          <w:numId w:val="44"/>
        </w:numPr>
        <w:autoSpaceDE w:val="0"/>
        <w:autoSpaceDN w:val="0"/>
        <w:spacing w:after="0" w:line="360" w:lineRule="auto"/>
        <w:ind w:left="1004" w:hanging="862"/>
        <w:jc w:val="both"/>
        <w:rPr>
          <w:rFonts w:ascii="Verdana" w:hAnsi="Verdana"/>
          <w:sz w:val="20"/>
          <w:szCs w:val="20"/>
        </w:rPr>
      </w:pPr>
      <w:r w:rsidRPr="00BE536E">
        <w:rPr>
          <w:rFonts w:ascii="Verdana" w:hAnsi="Verdana"/>
          <w:sz w:val="20"/>
          <w:szCs w:val="20"/>
        </w:rPr>
        <w:t xml:space="preserve"> Для обесцененных просроченных денежных потоков</w:t>
      </w:r>
      <w:r w:rsidRPr="00BE536E">
        <w:rPr>
          <w:rStyle w:val="ab"/>
          <w:rFonts w:ascii="Verdana" w:hAnsi="Verdana"/>
        </w:rPr>
        <w:footnoteReference w:id="25"/>
      </w:r>
      <w:r w:rsidRPr="00BE536E">
        <w:rPr>
          <w:rFonts w:ascii="Verdana" w:hAnsi="Verdana"/>
          <w:sz w:val="20"/>
          <w:szCs w:val="20"/>
        </w:rPr>
        <w:t xml:space="preserve"> вероятность дефолта рассчитывается в соответствии с Формулой 3:</w:t>
      </w:r>
    </w:p>
    <w:p w14:paraId="5617D836" w14:textId="77777777" w:rsidR="00D703EA" w:rsidRPr="00BE536E" w:rsidRDefault="00D703EA" w:rsidP="00D703EA">
      <w:pPr>
        <w:autoSpaceDE w:val="0"/>
        <w:autoSpaceDN w:val="0"/>
        <w:spacing w:after="0" w:line="360" w:lineRule="auto"/>
        <w:ind w:firstLine="709"/>
        <w:jc w:val="both"/>
        <w:rPr>
          <w:rFonts w:ascii="Times New Roman" w:hAnsi="Times New Roman"/>
          <w:b/>
        </w:rPr>
      </w:pPr>
    </w:p>
    <w:p w14:paraId="6BCE7957" w14:textId="77777777" w:rsidR="00D703EA" w:rsidRPr="00BE536E" w:rsidRDefault="00D703EA" w:rsidP="00D703EA">
      <w:pPr>
        <w:autoSpaceDE w:val="0"/>
        <w:autoSpaceDN w:val="0"/>
        <w:spacing w:after="0" w:line="360" w:lineRule="auto"/>
        <w:ind w:firstLine="709"/>
        <w:jc w:val="both"/>
        <w:rPr>
          <w:rFonts w:ascii="Verdana" w:hAnsi="Verdana"/>
          <w:b/>
          <w:sz w:val="20"/>
        </w:rPr>
      </w:pPr>
      <w:r w:rsidRPr="00BE536E">
        <w:rPr>
          <w:rFonts w:ascii="Verdana" w:hAnsi="Verdana"/>
          <w:b/>
          <w:sz w:val="20"/>
        </w:rPr>
        <w:lastRenderedPageBreak/>
        <w:t>Формула 3.</w:t>
      </w:r>
    </w:p>
    <w:p w14:paraId="6B11E3C2" w14:textId="77777777" w:rsidR="00D703EA" w:rsidRPr="00BE536E" w:rsidRDefault="00D703EA" w:rsidP="00D703EA">
      <w:pPr>
        <w:autoSpaceDE w:val="0"/>
        <w:autoSpaceDN w:val="0"/>
        <w:spacing w:after="0" w:line="360" w:lineRule="auto"/>
        <w:ind w:firstLine="709"/>
        <w:jc w:val="both"/>
        <w:rPr>
          <w:rFonts w:ascii="Verdana" w:hAnsi="Verdana"/>
          <w:b/>
          <w:sz w:val="20"/>
        </w:rPr>
      </w:pPr>
    </w:p>
    <w:p w14:paraId="285B6BB6" w14:textId="77777777" w:rsidR="00D703EA" w:rsidRPr="00BE536E" w:rsidRDefault="00D703EA" w:rsidP="00D703EA">
      <w:pPr>
        <w:autoSpaceDE w:val="0"/>
        <w:autoSpaceDN w:val="0"/>
        <w:spacing w:after="0" w:line="360" w:lineRule="auto"/>
        <w:ind w:firstLine="709"/>
        <w:jc w:val="both"/>
        <w:rPr>
          <w:rFonts w:ascii="Verdana" w:hAnsi="Verdana"/>
          <w:b/>
          <w:sz w:val="20"/>
          <w:szCs w:val="20"/>
        </w:rPr>
      </w:pPr>
      <m:oMathPara>
        <m:oMath>
          <m:r>
            <m:rPr>
              <m:sty m:val="b"/>
            </m:rPr>
            <w:rPr>
              <w:rFonts w:ascii="Cambria Math" w:hAnsi="Cambria Math"/>
              <w:sz w:val="20"/>
              <w:szCs w:val="20"/>
              <w:lang w:val="en-US"/>
            </w:rPr>
            <m:t>PD</m:t>
          </m:r>
          <m:d>
            <m:dPr>
              <m:ctrlPr>
                <w:rPr>
                  <w:rFonts w:ascii="Cambria Math" w:hAnsi="Cambria Math"/>
                  <w:b/>
                  <w:sz w:val="20"/>
                  <w:szCs w:val="20"/>
                </w:rPr>
              </m:ctrlPr>
            </m:dPr>
            <m:e>
              <m:r>
                <m:rPr>
                  <m:sty m:val="b"/>
                </m:rPr>
                <w:rPr>
                  <w:rFonts w:ascii="Cambria Math" w:hAnsi="Cambria Math"/>
                  <w:sz w:val="20"/>
                  <w:szCs w:val="20"/>
                  <w:lang w:val="en-US"/>
                </w:rPr>
                <m:t>t</m:t>
              </m:r>
            </m:e>
          </m:d>
          <m:r>
            <m:rPr>
              <m:sty m:val="b"/>
            </m:rPr>
            <w:rPr>
              <w:rFonts w:ascii="Cambria Math" w:hAnsi="Cambria Math"/>
              <w:sz w:val="20"/>
              <w:szCs w:val="20"/>
              <w:vertAlign w:val="subscript"/>
            </w:rPr>
            <m:t>просроч</m:t>
          </m:r>
          <m:r>
            <m:rPr>
              <m:sty m:val="b"/>
            </m:rPr>
            <w:rPr>
              <w:rFonts w:ascii="Cambria Math" w:hAnsi="Times New Roman"/>
              <w:sz w:val="20"/>
              <w:szCs w:val="20"/>
            </w:rPr>
            <m:t>=</m:t>
          </m:r>
          <m:r>
            <m:rPr>
              <m:sty m:val="b"/>
            </m:rPr>
            <w:rPr>
              <w:rFonts w:ascii="Cambria Math" w:hAnsi="Cambria Math"/>
              <w:sz w:val="20"/>
              <w:szCs w:val="20"/>
              <w:lang w:val="en-US"/>
            </w:rPr>
            <m:t>PD</m:t>
          </m:r>
          <m:r>
            <m:rPr>
              <m:sty m:val="b"/>
            </m:rPr>
            <w:rPr>
              <w:rFonts w:ascii="Cambria Math" w:hAnsi="Times New Roman"/>
              <w:sz w:val="20"/>
              <w:szCs w:val="20"/>
              <w:lang w:val="en-US"/>
            </w:rPr>
            <m:t>+</m:t>
          </m:r>
          <m:f>
            <m:fPr>
              <m:ctrlPr>
                <w:rPr>
                  <w:rFonts w:ascii="Cambria Math" w:hAnsi="Times New Roman"/>
                  <w:b/>
                  <w:sz w:val="20"/>
                  <w:szCs w:val="20"/>
                  <w:lang w:val="en-US"/>
                </w:rPr>
              </m:ctrlPr>
            </m:fPr>
            <m:num>
              <m:r>
                <m:rPr>
                  <m:sty m:val="bi"/>
                </m:rPr>
                <w:rPr>
                  <w:rFonts w:ascii="Cambria Math" w:hAnsi="Times New Roman"/>
                  <w:sz w:val="20"/>
                  <w:szCs w:val="20"/>
                  <w:lang w:val="en-US"/>
                </w:rPr>
                <m:t>t</m:t>
              </m:r>
            </m:num>
            <m:den>
              <m:r>
                <m:rPr>
                  <m:sty m:val="bi"/>
                </m:rPr>
                <w:rPr>
                  <w:rFonts w:ascii="Cambria Math" w:hAnsi="Times New Roman"/>
                  <w:sz w:val="20"/>
                  <w:szCs w:val="20"/>
                  <w:lang w:val="en-US"/>
                </w:rPr>
                <m:t>T+1</m:t>
              </m:r>
            </m:den>
          </m:f>
          <m:r>
            <m:rPr>
              <m:sty m:val="bi"/>
            </m:rPr>
            <w:rPr>
              <w:rFonts w:ascii="Cambria Math" w:hAnsi="Cambria Math" w:cs="Cambria Math"/>
              <w:sz w:val="20"/>
              <w:szCs w:val="20"/>
              <w:lang w:val="en-US"/>
            </w:rPr>
            <m:t>*</m:t>
          </m:r>
          <m:d>
            <m:dPr>
              <m:ctrlPr>
                <w:rPr>
                  <w:rFonts w:ascii="Cambria Math" w:hAnsi="Times New Roman"/>
                  <w:b/>
                  <w:i/>
                  <w:sz w:val="20"/>
                  <w:szCs w:val="20"/>
                  <w:lang w:val="en-US"/>
                </w:rPr>
              </m:ctrlPr>
            </m:dPr>
            <m:e>
              <m:r>
                <m:rPr>
                  <m:sty m:val="bi"/>
                </m:rPr>
                <w:rPr>
                  <w:rFonts w:ascii="Cambria Math" w:hAnsi="Times New Roman"/>
                  <w:sz w:val="20"/>
                  <w:szCs w:val="20"/>
                  <w:lang w:val="en-US"/>
                </w:rPr>
                <m:t>1</m:t>
              </m:r>
              <m:r>
                <m:rPr>
                  <m:sty m:val="bi"/>
                </m:rPr>
                <w:rPr>
                  <w:rFonts w:ascii="Cambria Math" w:hAnsi="Times New Roman"/>
                  <w:sz w:val="20"/>
                  <w:szCs w:val="20"/>
                  <w:lang w:val="en-US"/>
                </w:rPr>
                <m:t>-</m:t>
              </m:r>
              <m:r>
                <m:rPr>
                  <m:sty m:val="bi"/>
                </m:rPr>
                <w:rPr>
                  <w:rFonts w:ascii="Cambria Math" w:hAnsi="Times New Roman"/>
                  <w:sz w:val="20"/>
                  <w:szCs w:val="20"/>
                  <w:lang w:val="en-US"/>
                </w:rPr>
                <m:t>PD</m:t>
              </m:r>
            </m:e>
          </m:d>
        </m:oMath>
      </m:oMathPara>
    </w:p>
    <w:p w14:paraId="563FDDB0"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где</w:t>
      </w:r>
    </w:p>
    <w:p w14:paraId="6B288818"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t</w:t>
      </w:r>
      <w:r w:rsidRPr="00BE536E">
        <w:rPr>
          <w:rFonts w:ascii="Verdana" w:hAnsi="Verdana"/>
          <w:sz w:val="20"/>
          <w:szCs w:val="20"/>
        </w:rPr>
        <w:t xml:space="preserve"> – срок просрочки,</w:t>
      </w:r>
    </w:p>
    <w:p w14:paraId="0CF9F4C9"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PD(t)</w:t>
      </w:r>
      <w:r w:rsidRPr="00BE536E">
        <w:rPr>
          <w:rFonts w:ascii="Verdana" w:hAnsi="Verdana"/>
          <w:b/>
          <w:sz w:val="20"/>
          <w:szCs w:val="20"/>
          <w:vertAlign w:val="subscript"/>
        </w:rPr>
        <w:t>просроч</w:t>
      </w:r>
      <w:r w:rsidRPr="00BE536E">
        <w:rPr>
          <w:rFonts w:ascii="Verdana" w:hAnsi="Verdana"/>
          <w:sz w:val="20"/>
          <w:szCs w:val="20"/>
        </w:rPr>
        <w:t xml:space="preserve"> – вероятность дефолта для просроченной на t дней задолженности c момента признания просроченной задолженности не операционной. Полученное значение определяется до 4 знаков после запятой.</w:t>
      </w:r>
    </w:p>
    <w:p w14:paraId="6C30846E"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 xml:space="preserve">T </w:t>
      </w:r>
      <w:r w:rsidRPr="00BE536E">
        <w:rPr>
          <w:rFonts w:ascii="Verdana" w:hAnsi="Verdana"/>
          <w:sz w:val="20"/>
          <w:szCs w:val="20"/>
        </w:rPr>
        <w:t>– срок для признания данного типа задолженности дефолтной,</w:t>
      </w:r>
    </w:p>
    <w:p w14:paraId="1C555FC2"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PD</w:t>
      </w:r>
      <w:r w:rsidRPr="00BE536E">
        <w:rPr>
          <w:rFonts w:ascii="Verdana" w:hAnsi="Verdana"/>
          <w:sz w:val="20"/>
          <w:szCs w:val="20"/>
        </w:rPr>
        <w:t xml:space="preserve"> определяется:</w:t>
      </w:r>
    </w:p>
    <w:p w14:paraId="12474941"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 в случае, если по контрагенту отсутствуют признаки обесценения иные, чем просроченная задолженность - как годовая </w:t>
      </w:r>
      <w:r w:rsidRPr="00BE536E">
        <w:rPr>
          <w:rFonts w:ascii="Verdana" w:hAnsi="Verdana"/>
          <w:sz w:val="20"/>
          <w:szCs w:val="20"/>
          <w:lang w:val="en-US"/>
        </w:rPr>
        <w:t>PD</w:t>
      </w:r>
      <w:r w:rsidRPr="00BE536E">
        <w:rPr>
          <w:rFonts w:ascii="Verdana" w:hAnsi="Verdana"/>
          <w:sz w:val="20"/>
          <w:szCs w:val="20"/>
        </w:rPr>
        <w:t xml:space="preserve"> в соответствии с п.4.1;</w:t>
      </w:r>
    </w:p>
    <w:p w14:paraId="53D209CB"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 в случае, если по контрагенту имеются дополнительные признаки обесценения - как годовая </w:t>
      </w:r>
      <w:r w:rsidRPr="00BE536E">
        <w:rPr>
          <w:rFonts w:ascii="Verdana" w:hAnsi="Verdana"/>
          <w:sz w:val="20"/>
          <w:szCs w:val="20"/>
          <w:lang w:val="en-US"/>
        </w:rPr>
        <w:t>PD</w:t>
      </w:r>
      <w:r w:rsidRPr="00BE536E">
        <w:rPr>
          <w:rFonts w:ascii="Verdana" w:hAnsi="Verdana"/>
          <w:sz w:val="20"/>
          <w:szCs w:val="20"/>
        </w:rPr>
        <w:t>, дополнительно скорректированная в соответствии с п.4.2.1.</w:t>
      </w:r>
    </w:p>
    <w:p w14:paraId="3BCEA004" w14:textId="77777777" w:rsidR="00D703EA" w:rsidRPr="00BE536E" w:rsidRDefault="00D703EA" w:rsidP="00D703EA">
      <w:pPr>
        <w:spacing w:after="0" w:line="240" w:lineRule="auto"/>
        <w:ind w:firstLine="1"/>
        <w:jc w:val="both"/>
        <w:rPr>
          <w:rFonts w:ascii="Verdana" w:hAnsi="Verdana"/>
          <w:b/>
          <w:sz w:val="20"/>
          <w:szCs w:val="20"/>
        </w:rPr>
      </w:pPr>
      <w:r w:rsidRPr="00BE536E">
        <w:rPr>
          <w:rFonts w:ascii="Verdana" w:hAnsi="Verdana"/>
          <w:b/>
          <w:sz w:val="20"/>
          <w:szCs w:val="20"/>
        </w:rPr>
        <w:t xml:space="preserve">        4.3.  В случае, если у контрагента, по которому выявлены признаки обесценения, имеется одновременно несколько задолженностей, то PD контрагента принимается равной наибольшему значению из PD, рассчитанных в соответствии с п.4.2.1-4.2.2. При этом по каждому из обесцененных просроченных обязательств, достаточно определить PD (t)проср по денежному потоку, относящемуся к данному обязательству, с наибольшим сроком просрочки.  Полученное таким образом значение PD контрагента применяется ко всем обязательствам контрагента, после чего по непросроченным денежным потокам дополнительно корректируется на срок денежного потока в соответствии с п.4.4.</w:t>
      </w:r>
    </w:p>
    <w:p w14:paraId="00DD892E" w14:textId="77777777" w:rsidR="00D703EA" w:rsidRPr="00BE536E" w:rsidRDefault="00D703EA" w:rsidP="00D703EA">
      <w:pPr>
        <w:spacing w:after="0" w:line="360" w:lineRule="auto"/>
        <w:ind w:left="709"/>
        <w:jc w:val="both"/>
        <w:rPr>
          <w:rFonts w:ascii="Verdana" w:hAnsi="Verdana"/>
          <w:sz w:val="20"/>
          <w:szCs w:val="20"/>
        </w:rPr>
      </w:pPr>
    </w:p>
    <w:p w14:paraId="4DE46760" w14:textId="77777777" w:rsidR="00D703EA" w:rsidRPr="00BE536E" w:rsidRDefault="00D703EA" w:rsidP="00D05311">
      <w:pPr>
        <w:numPr>
          <w:ilvl w:val="1"/>
          <w:numId w:val="89"/>
        </w:numPr>
        <w:spacing w:after="0" w:line="360" w:lineRule="auto"/>
        <w:ind w:left="851"/>
        <w:jc w:val="both"/>
        <w:rPr>
          <w:rFonts w:ascii="Verdana" w:hAnsi="Verdana"/>
          <w:b/>
          <w:sz w:val="20"/>
          <w:szCs w:val="20"/>
        </w:rPr>
      </w:pPr>
      <w:r w:rsidRPr="00BE536E">
        <w:rPr>
          <w:rFonts w:ascii="Verdana" w:hAnsi="Verdana"/>
          <w:b/>
          <w:sz w:val="20"/>
          <w:szCs w:val="20"/>
        </w:rPr>
        <w:t xml:space="preserve"> Корректировка вероятности дефолта контрагента на срок денежного потока</w:t>
      </w:r>
    </w:p>
    <w:p w14:paraId="4E5EBA86" w14:textId="77777777" w:rsidR="00D703EA" w:rsidRPr="00BE536E" w:rsidRDefault="00D703EA" w:rsidP="00D703EA">
      <w:pPr>
        <w:spacing w:after="0" w:line="360" w:lineRule="auto"/>
        <w:ind w:left="3" w:firstLine="706"/>
        <w:jc w:val="both"/>
        <w:rPr>
          <w:rFonts w:ascii="Verdana" w:hAnsi="Verdana"/>
          <w:sz w:val="20"/>
          <w:szCs w:val="20"/>
        </w:rPr>
      </w:pPr>
      <w:r w:rsidRPr="00BE536E">
        <w:rPr>
          <w:rFonts w:ascii="Verdana" w:hAnsi="Verdana"/>
          <w:sz w:val="20"/>
          <w:szCs w:val="20"/>
        </w:rPr>
        <w:t xml:space="preserve">4.4.1. Для каждого денежного потока рассчитывается </w:t>
      </w:r>
      <w:r w:rsidRPr="00BE536E">
        <w:rPr>
          <w:rFonts w:ascii="Verdana" w:hAnsi="Verdana"/>
          <w:sz w:val="20"/>
          <w:szCs w:val="20"/>
          <w:lang w:val="en-US"/>
        </w:rPr>
        <w:t>PD</w:t>
      </w:r>
      <w:r w:rsidRPr="00BE536E">
        <w:rPr>
          <w:rFonts w:ascii="Verdana" w:hAnsi="Verdana"/>
          <w:sz w:val="20"/>
          <w:szCs w:val="20"/>
        </w:rPr>
        <w:t xml:space="preserve">, исходя из </w:t>
      </w:r>
      <w:r w:rsidRPr="00BE536E">
        <w:rPr>
          <w:rFonts w:ascii="Verdana" w:hAnsi="Verdana"/>
          <w:sz w:val="20"/>
          <w:szCs w:val="20"/>
          <w:lang w:val="en-US"/>
        </w:rPr>
        <w:t>PD</w:t>
      </w:r>
      <w:r w:rsidRPr="00BE536E">
        <w:rPr>
          <w:rFonts w:ascii="Verdana" w:hAnsi="Verdana"/>
          <w:sz w:val="20"/>
          <w:szCs w:val="20"/>
        </w:rPr>
        <w:t xml:space="preserve"> контрагента (определенного в соответствии с пп.4.1-4.3), скорректированного на срок денежного потока:</w:t>
      </w:r>
    </w:p>
    <w:p w14:paraId="23267428" w14:textId="77777777" w:rsidR="00D703EA" w:rsidRPr="00BE536E" w:rsidRDefault="00D703EA" w:rsidP="00D05311">
      <w:pPr>
        <w:numPr>
          <w:ilvl w:val="4"/>
          <w:numId w:val="90"/>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Корректировка на срок денежного потока не осуществляется до момента первого погашения по задолженности, в случае, если срок до даты денежного потока не превышает 1 года от даты оценки и вероятность дефолта контрагента превышает вероятность дефолта для наихудшего рейтингового грейда (Ca-C)</w:t>
      </w:r>
      <w:r w:rsidRPr="00BE536E">
        <w:rPr>
          <w:rFonts w:ascii="Verdana" w:hAnsi="Verdana"/>
          <w:sz w:val="20"/>
          <w:szCs w:val="20"/>
          <w:vertAlign w:val="superscript"/>
        </w:rPr>
        <w:footnoteReference w:id="26"/>
      </w:r>
      <w:r w:rsidRPr="00BE536E">
        <w:rPr>
          <w:rFonts w:ascii="Verdana" w:hAnsi="Verdana"/>
          <w:sz w:val="20"/>
          <w:szCs w:val="20"/>
        </w:rPr>
        <w:t xml:space="preserve"> по данным отчета (Annual default study) рейтингового агентства Moody’s (для юридических лиц, не являющимися МСБ) или наихудшей вероятности дефолта для такого актива из категории МСБ (при отсутствии просроченных денежных потоков, выводящих задолженность из состояния операционной);</w:t>
      </w:r>
    </w:p>
    <w:p w14:paraId="1542F554" w14:textId="77777777" w:rsidR="00D703EA" w:rsidRPr="00BE536E" w:rsidRDefault="00D703EA" w:rsidP="00D05311">
      <w:pPr>
        <w:numPr>
          <w:ilvl w:val="4"/>
          <w:numId w:val="90"/>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lastRenderedPageBreak/>
        <w:t xml:space="preserve"> Корректировка на срок денежного потока не осуществляется, в случае, если срок до даты денежного потока не превышает 1 года от даты оценки и у контрагента имеются просроченные денежные потоки, выводящие задолженность из состояния операционной.</w:t>
      </w:r>
    </w:p>
    <w:p w14:paraId="44CA6657" w14:textId="77777777" w:rsidR="00D703EA" w:rsidRPr="00BE536E" w:rsidRDefault="00D703EA" w:rsidP="00D703EA">
      <w:pPr>
        <w:spacing w:after="0" w:line="360" w:lineRule="auto"/>
        <w:ind w:firstLine="709"/>
        <w:jc w:val="both"/>
        <w:rPr>
          <w:rFonts w:ascii="Verdana" w:hAnsi="Verdana"/>
          <w:sz w:val="20"/>
          <w:szCs w:val="20"/>
        </w:rPr>
      </w:pPr>
      <w:r w:rsidRPr="00BE536E">
        <w:rPr>
          <w:rFonts w:ascii="Verdana" w:hAnsi="Verdana"/>
          <w:sz w:val="20"/>
          <w:szCs w:val="20"/>
        </w:rPr>
        <w:t xml:space="preserve">В случае, если корректировка </w:t>
      </w:r>
      <w:r w:rsidRPr="00BE536E">
        <w:rPr>
          <w:rFonts w:ascii="Verdana" w:hAnsi="Verdana"/>
          <w:sz w:val="20"/>
          <w:szCs w:val="20"/>
          <w:lang w:val="en-US"/>
        </w:rPr>
        <w:t>PD</w:t>
      </w:r>
      <w:r w:rsidRPr="00BE536E">
        <w:rPr>
          <w:rFonts w:ascii="Verdana" w:hAnsi="Verdana"/>
          <w:sz w:val="20"/>
          <w:szCs w:val="20"/>
        </w:rPr>
        <w:t xml:space="preserve"> на срок денежного потока не осуществляется, вероятность дефолта для денежного потока (</w:t>
      </w:r>
      <w:r w:rsidRPr="00BE536E">
        <w:rPr>
          <w:rFonts w:ascii="Verdana" w:hAnsi="Verdana"/>
          <w:sz w:val="20"/>
          <w:szCs w:val="20"/>
          <w:lang w:val="en-US"/>
        </w:rPr>
        <w:t>PD</w:t>
      </w:r>
      <w:r w:rsidRPr="00BE536E">
        <w:rPr>
          <w:rFonts w:ascii="Verdana" w:hAnsi="Verdana"/>
          <w:sz w:val="20"/>
          <w:szCs w:val="20"/>
        </w:rPr>
        <w:t>(</w:t>
      </w:r>
      <w:r w:rsidRPr="00BE536E">
        <w:rPr>
          <w:rFonts w:ascii="Verdana" w:hAnsi="Verdana"/>
          <w:sz w:val="20"/>
          <w:szCs w:val="20"/>
          <w:lang w:val="en-US"/>
        </w:rPr>
        <w:t>Tn</w:t>
      </w:r>
      <w:r w:rsidRPr="00BE536E">
        <w:rPr>
          <w:rFonts w:ascii="Verdana" w:hAnsi="Verdana"/>
          <w:sz w:val="20"/>
          <w:szCs w:val="20"/>
        </w:rPr>
        <w:t>)) принимается равной вероятности дефолта контрагента на горизонте 1 год.</w:t>
      </w:r>
    </w:p>
    <w:p w14:paraId="23C4F4BE" w14:textId="77777777" w:rsidR="00D703EA" w:rsidRPr="00BE536E" w:rsidRDefault="00D703EA" w:rsidP="00D703EA">
      <w:pPr>
        <w:spacing w:after="0" w:line="360" w:lineRule="auto"/>
        <w:ind w:firstLine="709"/>
        <w:jc w:val="both"/>
        <w:rPr>
          <w:rFonts w:ascii="Verdana" w:hAnsi="Verdana"/>
          <w:sz w:val="20"/>
          <w:szCs w:val="20"/>
        </w:rPr>
      </w:pPr>
      <w:r w:rsidRPr="00BE536E">
        <w:rPr>
          <w:rFonts w:ascii="Verdana" w:hAnsi="Verdana"/>
          <w:sz w:val="20"/>
          <w:szCs w:val="20"/>
        </w:rPr>
        <w:t>4.4.2. Для корректировки вероятности дефолта на срок денежного потока используется формула расчета вероятности дефолта по подходу оценки интенсивности (Формула 4).</w:t>
      </w:r>
    </w:p>
    <w:p w14:paraId="55EDEE65" w14:textId="77777777" w:rsidR="00D703EA" w:rsidRPr="00BE536E" w:rsidRDefault="00D703EA" w:rsidP="00D703EA">
      <w:pPr>
        <w:spacing w:after="0" w:line="360" w:lineRule="auto"/>
        <w:ind w:firstLine="709"/>
        <w:jc w:val="both"/>
        <w:rPr>
          <w:rFonts w:ascii="Verdana" w:hAnsi="Verdana"/>
          <w:sz w:val="20"/>
          <w:szCs w:val="20"/>
        </w:rPr>
      </w:pPr>
    </w:p>
    <w:p w14:paraId="23DF7C93" w14:textId="77777777" w:rsidR="00D703EA" w:rsidRPr="00BE536E" w:rsidRDefault="00D703EA" w:rsidP="00D703EA">
      <w:pPr>
        <w:autoSpaceDE w:val="0"/>
        <w:autoSpaceDN w:val="0"/>
        <w:spacing w:after="0" w:line="360" w:lineRule="auto"/>
        <w:ind w:firstLine="709"/>
        <w:jc w:val="both"/>
        <w:rPr>
          <w:rFonts w:ascii="Verdana" w:hAnsi="Verdana"/>
          <w:b/>
          <w:sz w:val="20"/>
          <w:szCs w:val="20"/>
        </w:rPr>
      </w:pPr>
      <w:r w:rsidRPr="00BE536E">
        <w:rPr>
          <w:rFonts w:ascii="Verdana" w:hAnsi="Verdana"/>
          <w:b/>
          <w:sz w:val="20"/>
          <w:szCs w:val="20"/>
        </w:rPr>
        <w:t>Формула 4. Расчет вероятности дефолта по методу оценки интенсивности.</w:t>
      </w:r>
    </w:p>
    <w:p w14:paraId="4FBACBBF" w14:textId="77777777" w:rsidR="00D703EA" w:rsidRPr="00BE536E" w:rsidRDefault="00A3154D" w:rsidP="00D703EA">
      <w:pPr>
        <w:spacing w:after="0" w:line="360" w:lineRule="auto"/>
        <w:ind w:firstLine="709"/>
        <w:jc w:val="both"/>
        <w:rPr>
          <w:rFonts w:ascii="Verdana" w:hAnsi="Verdana"/>
          <w:i/>
          <w:sz w:val="20"/>
          <w:szCs w:val="20"/>
        </w:rPr>
      </w:pPr>
      <m:oMathPara>
        <m:oMath>
          <m:sSub>
            <m:sSubPr>
              <m:ctrlPr>
                <w:rPr>
                  <w:rFonts w:ascii="Cambria Math" w:hAnsi="Cambria Math"/>
                  <w:i/>
                  <w:sz w:val="20"/>
                  <w:szCs w:val="20"/>
                </w:rPr>
              </m:ctrlPr>
            </m:sSubPr>
            <m:e>
              <m:r>
                <w:rPr>
                  <w:rFonts w:ascii="Cambria Math" w:hAnsi="Cambria Math"/>
                  <w:sz w:val="20"/>
                  <w:szCs w:val="20"/>
                </w:rPr>
                <m:t>PD</m:t>
              </m:r>
            </m:e>
            <m:sub>
              <m:r>
                <w:rPr>
                  <w:rFonts w:ascii="Cambria Math" w:hAnsi="Cambria Math"/>
                  <w:sz w:val="20"/>
                  <w:szCs w:val="20"/>
                </w:rPr>
                <m:t>D</m:t>
              </m:r>
            </m:sub>
          </m:sSub>
          <m:r>
            <w:rPr>
              <w:rFonts w:ascii="Cambria Math" w:hAnsi="Cambria Math"/>
              <w:sz w:val="20"/>
              <w:szCs w:val="20"/>
            </w:rPr>
            <m:t>=1-</m:t>
          </m:r>
          <m:sSup>
            <m:sSupPr>
              <m:ctrlPr>
                <w:rPr>
                  <w:rFonts w:ascii="Cambria Math" w:hAnsi="Cambria Math"/>
                  <w:i/>
                  <w:sz w:val="20"/>
                  <w:szCs w:val="20"/>
                </w:rPr>
              </m:ctrlPr>
            </m:sSupPr>
            <m:e>
              <m:r>
                <w:rPr>
                  <w:rFonts w:ascii="Cambria Math" w:hAnsi="Cambria Math"/>
                  <w:sz w:val="20"/>
                  <w:szCs w:val="20"/>
                  <w:lang w:val="en-US"/>
                </w:rPr>
                <m:t>(1-PD)</m:t>
              </m:r>
            </m:e>
            <m:sup>
              <m:f>
                <m:fPr>
                  <m:ctrlPr>
                    <w:rPr>
                      <w:rFonts w:ascii="Cambria Math" w:hAnsi="Cambria Math"/>
                      <w:i/>
                      <w:sz w:val="20"/>
                      <w:szCs w:val="20"/>
                    </w:rPr>
                  </m:ctrlPr>
                </m:fPr>
                <m:num>
                  <m:r>
                    <w:rPr>
                      <w:rFonts w:ascii="Cambria Math" w:hAnsi="Cambria Math"/>
                      <w:sz w:val="20"/>
                      <w:szCs w:val="20"/>
                    </w:rPr>
                    <m:t>D</m:t>
                  </m:r>
                </m:num>
                <m:den>
                  <m:r>
                    <w:rPr>
                      <w:rFonts w:ascii="Cambria Math" w:hAnsi="Cambria Math"/>
                      <w:sz w:val="20"/>
                      <w:szCs w:val="20"/>
                    </w:rPr>
                    <m:t>365</m:t>
                  </m:r>
                </m:den>
              </m:f>
            </m:sup>
          </m:sSup>
        </m:oMath>
      </m:oMathPara>
    </w:p>
    <w:p w14:paraId="4C274F01"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где, </w:t>
      </w:r>
    </w:p>
    <w:p w14:paraId="1B0EB36E" w14:textId="77777777" w:rsidR="00D703EA" w:rsidRPr="00BE536E" w:rsidRDefault="00D703EA" w:rsidP="00D703EA">
      <w:pPr>
        <w:autoSpaceDE w:val="0"/>
        <w:autoSpaceDN w:val="0"/>
        <w:spacing w:after="0" w:line="360" w:lineRule="auto"/>
        <w:ind w:firstLine="709"/>
        <w:jc w:val="both"/>
        <w:rPr>
          <w:rFonts w:ascii="Verdana" w:hAnsi="Verdana"/>
          <w:sz w:val="20"/>
          <w:szCs w:val="20"/>
        </w:rPr>
      </w:pPr>
      <m:oMath>
        <m:r>
          <m:rPr>
            <m:sty m:val="b"/>
          </m:rPr>
          <w:rPr>
            <w:rFonts w:ascii="Cambria Math" w:hAnsi="Cambria Math"/>
            <w:sz w:val="20"/>
            <w:szCs w:val="20"/>
          </w:rPr>
          <m:t>PD</m:t>
        </m:r>
      </m:oMath>
      <w:r w:rsidRPr="00BE536E">
        <w:rPr>
          <w:rFonts w:ascii="Verdana" w:hAnsi="Verdana"/>
          <w:sz w:val="20"/>
          <w:szCs w:val="20"/>
        </w:rPr>
        <w:t xml:space="preserve"> – вероятность дефолта контрагента, рассчитанная в соответствии с п.4.1-4.3;</w:t>
      </w:r>
    </w:p>
    <w:p w14:paraId="1E06432D" w14:textId="77777777" w:rsidR="00D703EA" w:rsidRPr="00BE536E" w:rsidRDefault="00D703EA" w:rsidP="00D703EA">
      <w:pPr>
        <w:autoSpaceDE w:val="0"/>
        <w:autoSpaceDN w:val="0"/>
        <w:spacing w:after="0" w:line="360" w:lineRule="auto"/>
        <w:ind w:firstLine="709"/>
        <w:jc w:val="both"/>
        <w:rPr>
          <w:rFonts w:ascii="Verdana" w:hAnsi="Verdana"/>
          <w:sz w:val="20"/>
          <w:szCs w:val="20"/>
        </w:rPr>
      </w:pPr>
      <m:oMath>
        <m:r>
          <m:rPr>
            <m:sty m:val="b"/>
          </m:rPr>
          <w:rPr>
            <w:rFonts w:ascii="Cambria Math" w:hAnsi="Cambria Math"/>
            <w:sz w:val="20"/>
            <w:szCs w:val="20"/>
          </w:rPr>
          <m:t>D</m:t>
        </m:r>
      </m:oMath>
      <w:r w:rsidRPr="00BE536E">
        <w:rPr>
          <w:rFonts w:ascii="Verdana" w:hAnsi="Verdana"/>
          <w:sz w:val="20"/>
          <w:szCs w:val="20"/>
        </w:rPr>
        <w:t xml:space="preserve"> – количество календарных дней до погашения/оферты денежного потока;</w:t>
      </w:r>
    </w:p>
    <w:p w14:paraId="714BE25F"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Значение </w:t>
      </w:r>
      <w:r w:rsidRPr="00BE536E">
        <w:rPr>
          <w:rFonts w:ascii="Verdana" w:hAnsi="Verdana"/>
          <w:sz w:val="20"/>
          <w:szCs w:val="20"/>
          <w:lang w:val="en-US"/>
        </w:rPr>
        <w:t>PD</w:t>
      </w:r>
      <w:r w:rsidRPr="00BE536E">
        <w:rPr>
          <w:rFonts w:ascii="Verdana" w:hAnsi="Verdana"/>
          <w:sz w:val="20"/>
          <w:szCs w:val="20"/>
          <w:vertAlign w:val="subscript"/>
          <w:lang w:val="en-US"/>
        </w:rPr>
        <w:t>D</w:t>
      </w:r>
      <w:r w:rsidRPr="00BE536E">
        <w:rPr>
          <w:rFonts w:ascii="Verdana" w:hAnsi="Verdana"/>
          <w:sz w:val="20"/>
          <w:szCs w:val="20"/>
        </w:rPr>
        <w:t xml:space="preserve"> округляется до 4 знаков после запятой.</w:t>
      </w:r>
    </w:p>
    <w:p w14:paraId="07384C3A" w14:textId="77777777" w:rsidR="00D703EA" w:rsidRPr="00BE536E" w:rsidRDefault="00D703EA" w:rsidP="00D703EA">
      <w:pPr>
        <w:autoSpaceDE w:val="0"/>
        <w:autoSpaceDN w:val="0"/>
        <w:spacing w:after="0" w:line="360" w:lineRule="auto"/>
        <w:ind w:firstLine="709"/>
        <w:jc w:val="both"/>
        <w:rPr>
          <w:rFonts w:ascii="Times New Roman" w:hAnsi="Times New Roman"/>
          <w:b/>
          <w:sz w:val="20"/>
          <w:szCs w:val="20"/>
        </w:rPr>
      </w:pPr>
    </w:p>
    <w:p w14:paraId="15D10E56" w14:textId="77777777" w:rsidR="00D703EA" w:rsidRPr="00BE536E" w:rsidRDefault="00D703EA" w:rsidP="00D05311">
      <w:pPr>
        <w:numPr>
          <w:ilvl w:val="1"/>
          <w:numId w:val="89"/>
        </w:numPr>
        <w:spacing w:after="0" w:line="360" w:lineRule="auto"/>
        <w:ind w:left="0" w:firstLine="709"/>
        <w:jc w:val="both"/>
        <w:rPr>
          <w:rFonts w:ascii="Verdana" w:hAnsi="Verdana"/>
          <w:b/>
          <w:sz w:val="20"/>
          <w:szCs w:val="20"/>
        </w:rPr>
      </w:pPr>
      <w:r w:rsidRPr="00BE536E">
        <w:rPr>
          <w:rFonts w:ascii="Verdana" w:hAnsi="Verdana"/>
          <w:b/>
          <w:sz w:val="20"/>
          <w:szCs w:val="20"/>
        </w:rPr>
        <w:t xml:space="preserve"> Соответствие шкал рейтинговых агентств.</w:t>
      </w:r>
    </w:p>
    <w:p w14:paraId="101FB4BD" w14:textId="77777777" w:rsidR="00D703EA" w:rsidRPr="00BE536E" w:rsidRDefault="00D703EA" w:rsidP="00D05311">
      <w:pPr>
        <w:numPr>
          <w:ilvl w:val="2"/>
          <w:numId w:val="89"/>
        </w:numPr>
        <w:spacing w:after="0" w:line="360" w:lineRule="auto"/>
        <w:ind w:left="0" w:firstLine="709"/>
        <w:jc w:val="both"/>
        <w:rPr>
          <w:rFonts w:ascii="Verdana" w:hAnsi="Verdana"/>
          <w:b/>
          <w:sz w:val="20"/>
          <w:szCs w:val="20"/>
        </w:rPr>
      </w:pPr>
      <w:r w:rsidRPr="00BE536E">
        <w:rPr>
          <w:rFonts w:ascii="Verdana" w:hAnsi="Verdana"/>
          <w:sz w:val="20"/>
          <w:szCs w:val="20"/>
        </w:rPr>
        <w:t xml:space="preserve"> Соответствие шкал рейтингов устанавливается в соответствии с Таблицей 1 Приложения Д.</w:t>
      </w:r>
    </w:p>
    <w:p w14:paraId="2B6572AE" w14:textId="77777777" w:rsidR="00D703EA" w:rsidRPr="00BE536E" w:rsidRDefault="00D703EA" w:rsidP="00D05311">
      <w:pPr>
        <w:numPr>
          <w:ilvl w:val="2"/>
          <w:numId w:val="89"/>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Соответствие рейтингов пересматривается в зависимости от изменения рейтинга Российской Федерации, присвоенного российским рейтинговым агентством по национальной рейтинговой шкале и (или) иностранным рейтинговым агентством по международной рейтинговой шкале. </w:t>
      </w:r>
    </w:p>
    <w:p w14:paraId="6DED43A4" w14:textId="77777777" w:rsidR="00D703EA" w:rsidRPr="00BE536E" w:rsidRDefault="00D703EA" w:rsidP="00D05311">
      <w:pPr>
        <w:numPr>
          <w:ilvl w:val="2"/>
          <w:numId w:val="89"/>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Соответствие рейтингов пересматривается в случае изменения рейтинговых шкал рейтинговых агентств.</w:t>
      </w:r>
    </w:p>
    <w:p w14:paraId="4248E0E4" w14:textId="77777777" w:rsidR="00D703EA" w:rsidRPr="00BE536E" w:rsidRDefault="00D703EA" w:rsidP="00D703EA">
      <w:pPr>
        <w:autoSpaceDE w:val="0"/>
        <w:autoSpaceDN w:val="0"/>
        <w:spacing w:after="0" w:line="360" w:lineRule="auto"/>
        <w:ind w:left="709"/>
        <w:jc w:val="both"/>
        <w:rPr>
          <w:rFonts w:ascii="Verdana" w:hAnsi="Verdana"/>
          <w:sz w:val="20"/>
          <w:szCs w:val="20"/>
        </w:rPr>
      </w:pPr>
    </w:p>
    <w:p w14:paraId="00E85D7A" w14:textId="77777777" w:rsidR="00D703EA" w:rsidRPr="00BE536E" w:rsidRDefault="00D703EA" w:rsidP="00D05311">
      <w:pPr>
        <w:numPr>
          <w:ilvl w:val="1"/>
          <w:numId w:val="89"/>
        </w:numPr>
        <w:autoSpaceDE w:val="0"/>
        <w:autoSpaceDN w:val="0"/>
        <w:spacing w:after="0" w:line="360" w:lineRule="auto"/>
        <w:ind w:left="0" w:firstLine="709"/>
        <w:jc w:val="both"/>
        <w:rPr>
          <w:rFonts w:ascii="Verdana" w:hAnsi="Verdana"/>
          <w:b/>
          <w:sz w:val="20"/>
          <w:szCs w:val="20"/>
        </w:rPr>
      </w:pPr>
      <w:r w:rsidRPr="00BE536E">
        <w:rPr>
          <w:rFonts w:ascii="Verdana" w:hAnsi="Verdana"/>
          <w:sz w:val="20"/>
          <w:szCs w:val="20"/>
        </w:rPr>
        <w:t xml:space="preserve"> </w:t>
      </w:r>
      <w:r w:rsidRPr="00BE536E">
        <w:rPr>
          <w:rFonts w:ascii="Verdana" w:hAnsi="Verdana"/>
          <w:b/>
          <w:sz w:val="20"/>
          <w:szCs w:val="20"/>
        </w:rPr>
        <w:t>Порядок использования рейтингов и учета действий рейтинговых агентств.</w:t>
      </w:r>
    </w:p>
    <w:p w14:paraId="6D56D235" w14:textId="77777777" w:rsidR="00D703EA" w:rsidRPr="00BE536E" w:rsidRDefault="00D703EA" w:rsidP="00D05311">
      <w:pPr>
        <w:numPr>
          <w:ilvl w:val="2"/>
          <w:numId w:val="89"/>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Для определения кредитного рейтинга используются данные рейтинговых агентств в соответствии с порядком, установленным в разделе «Общие положения». При отсутствии кредитных рейтингов международных рейтинговых агентств используются кредитные рейтинги российских рейтинговых агентств. При оценке иностранных эмитентов учитываются те же рейтинги.</w:t>
      </w:r>
    </w:p>
    <w:p w14:paraId="36CB20A2" w14:textId="77777777" w:rsidR="00D703EA" w:rsidRPr="00BE536E" w:rsidRDefault="00D703EA" w:rsidP="00D05311">
      <w:pPr>
        <w:numPr>
          <w:ilvl w:val="2"/>
          <w:numId w:val="89"/>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lastRenderedPageBreak/>
        <w:t xml:space="preserve"> В целях настоящего раздела используется кредитный рейтинг по шкале рейтингового агентства, соответствующей валюте основного долга.  </w:t>
      </w:r>
    </w:p>
    <w:p w14:paraId="29AFC317" w14:textId="77777777" w:rsidR="00D703EA" w:rsidRPr="00BE536E" w:rsidRDefault="00D703EA" w:rsidP="00D703EA">
      <w:pPr>
        <w:autoSpaceDE w:val="0"/>
        <w:autoSpaceDN w:val="0"/>
        <w:spacing w:after="0" w:line="360" w:lineRule="auto"/>
        <w:ind w:left="709"/>
        <w:jc w:val="both"/>
        <w:rPr>
          <w:rFonts w:ascii="Verdana" w:hAnsi="Verdana"/>
          <w:sz w:val="20"/>
          <w:szCs w:val="20"/>
        </w:rPr>
      </w:pPr>
    </w:p>
    <w:p w14:paraId="56DC13D5" w14:textId="77777777" w:rsidR="00D703EA" w:rsidRPr="00BE536E" w:rsidRDefault="00D703EA" w:rsidP="00D05311">
      <w:pPr>
        <w:numPr>
          <w:ilvl w:val="1"/>
          <w:numId w:val="89"/>
        </w:numPr>
        <w:tabs>
          <w:tab w:val="left" w:pos="1276"/>
          <w:tab w:val="left" w:pos="1418"/>
        </w:tabs>
        <w:autoSpaceDE w:val="0"/>
        <w:autoSpaceDN w:val="0"/>
        <w:spacing w:after="0" w:line="360" w:lineRule="auto"/>
        <w:ind w:left="0" w:firstLine="709"/>
        <w:jc w:val="both"/>
        <w:rPr>
          <w:rFonts w:ascii="Verdana" w:hAnsi="Verdana"/>
          <w:b/>
          <w:sz w:val="20"/>
          <w:szCs w:val="20"/>
        </w:rPr>
      </w:pPr>
      <w:r w:rsidRPr="00BE536E">
        <w:rPr>
          <w:rFonts w:ascii="Verdana" w:hAnsi="Verdana"/>
          <w:b/>
          <w:sz w:val="20"/>
          <w:szCs w:val="20"/>
        </w:rPr>
        <w:t xml:space="preserve"> Для активов контрагента, находящегося в состоянии дефолта, </w:t>
      </w:r>
      <w:r w:rsidRPr="00BE536E">
        <w:rPr>
          <w:rFonts w:ascii="Verdana" w:hAnsi="Verdana"/>
          <w:b/>
          <w:sz w:val="20"/>
          <w:szCs w:val="20"/>
          <w:lang w:val="en-US"/>
        </w:rPr>
        <w:t>PD</w:t>
      </w:r>
      <w:r w:rsidRPr="00BE536E">
        <w:rPr>
          <w:rFonts w:ascii="Verdana" w:hAnsi="Verdana"/>
          <w:b/>
          <w:sz w:val="20"/>
          <w:szCs w:val="20"/>
        </w:rPr>
        <w:t xml:space="preserve"> устанавливается равной 1.</w:t>
      </w:r>
    </w:p>
    <w:p w14:paraId="53F1C159" w14:textId="77777777" w:rsidR="00D703EA" w:rsidRPr="00BE536E" w:rsidRDefault="00D703EA" w:rsidP="00D703EA">
      <w:pPr>
        <w:tabs>
          <w:tab w:val="left" w:pos="1276"/>
          <w:tab w:val="left" w:pos="1418"/>
        </w:tabs>
        <w:autoSpaceDE w:val="0"/>
        <w:autoSpaceDN w:val="0"/>
        <w:spacing w:after="0" w:line="360" w:lineRule="auto"/>
        <w:ind w:left="709"/>
        <w:jc w:val="both"/>
        <w:rPr>
          <w:rFonts w:ascii="Verdana" w:hAnsi="Verdana"/>
          <w:b/>
          <w:sz w:val="20"/>
          <w:szCs w:val="20"/>
        </w:rPr>
      </w:pPr>
    </w:p>
    <w:p w14:paraId="7C934D8B" w14:textId="77777777" w:rsidR="00D703EA" w:rsidRPr="00BE536E" w:rsidRDefault="00D703EA" w:rsidP="00D05311">
      <w:pPr>
        <w:numPr>
          <w:ilvl w:val="1"/>
          <w:numId w:val="89"/>
        </w:numPr>
        <w:tabs>
          <w:tab w:val="left" w:pos="1276"/>
          <w:tab w:val="left" w:pos="1418"/>
        </w:tabs>
        <w:autoSpaceDE w:val="0"/>
        <w:autoSpaceDN w:val="0"/>
        <w:spacing w:after="0" w:line="360" w:lineRule="auto"/>
        <w:ind w:left="0" w:firstLine="709"/>
        <w:jc w:val="both"/>
        <w:rPr>
          <w:rFonts w:ascii="Verdana" w:hAnsi="Verdana"/>
          <w:sz w:val="20"/>
          <w:szCs w:val="20"/>
        </w:rPr>
      </w:pPr>
      <w:r w:rsidRPr="00BE536E">
        <w:rPr>
          <w:rFonts w:ascii="Verdana" w:hAnsi="Verdana"/>
          <w:b/>
          <w:sz w:val="20"/>
          <w:szCs w:val="20"/>
        </w:rPr>
        <w:t xml:space="preserve"> Для задолженности, обеспеченной поручительством, гарантией, опционным соглашением</w:t>
      </w:r>
      <w:r w:rsidRPr="00BE536E">
        <w:rPr>
          <w:rFonts w:ascii="Verdana" w:hAnsi="Verdana"/>
          <w:sz w:val="20"/>
          <w:szCs w:val="20"/>
        </w:rPr>
        <w:t xml:space="preserve"> используется  PD поручителя, гаранта, контрагента по опционному соглашению на обеспеченную часть задолженности, если PD контрагента - больше.</w:t>
      </w:r>
    </w:p>
    <w:p w14:paraId="3A12C203" w14:textId="77777777" w:rsidR="00D703EA" w:rsidRPr="00BE536E" w:rsidRDefault="00D703EA" w:rsidP="00D703EA">
      <w:pPr>
        <w:spacing w:after="0" w:line="240" w:lineRule="auto"/>
        <w:ind w:left="1" w:firstLine="1"/>
        <w:jc w:val="both"/>
        <w:rPr>
          <w:rFonts w:ascii="Verdana" w:hAnsi="Verdana"/>
          <w:sz w:val="20"/>
          <w:szCs w:val="20"/>
        </w:rPr>
      </w:pPr>
      <w:r w:rsidRPr="00BE536E">
        <w:rPr>
          <w:rFonts w:ascii="Verdana" w:hAnsi="Verdana"/>
          <w:sz w:val="20"/>
          <w:szCs w:val="20"/>
        </w:rPr>
        <w:t xml:space="preserve">           Если поручителем по задолженности юридического лица выступает физическое лицо и, наоборот, то используется наименьшее из годовых значений показателей CoR поручителя и PD*LGD должника.</w:t>
      </w:r>
    </w:p>
    <w:p w14:paraId="7CA9B1F2" w14:textId="77777777" w:rsidR="00D703EA" w:rsidRPr="00BE536E" w:rsidRDefault="00D703EA" w:rsidP="00D703EA">
      <w:pPr>
        <w:spacing w:after="0" w:line="240" w:lineRule="auto"/>
        <w:ind w:firstLine="1"/>
        <w:jc w:val="both"/>
        <w:rPr>
          <w:rFonts w:ascii="Verdana" w:hAnsi="Verdana"/>
          <w:sz w:val="20"/>
          <w:szCs w:val="20"/>
        </w:rPr>
      </w:pPr>
      <w:r w:rsidRPr="00BE536E">
        <w:rPr>
          <w:rFonts w:ascii="Verdana" w:hAnsi="Verdana"/>
          <w:sz w:val="20"/>
          <w:szCs w:val="20"/>
        </w:rPr>
        <w:t xml:space="preserve">           Для задолженности, обеспеченной страховкой, используются PD должника по договору (активу).</w:t>
      </w:r>
    </w:p>
    <w:p w14:paraId="151C8E59" w14:textId="77777777" w:rsidR="002A3D95" w:rsidRPr="00BE536E" w:rsidRDefault="002A3D95" w:rsidP="002A3D95">
      <w:pPr>
        <w:autoSpaceDE w:val="0"/>
        <w:autoSpaceDN w:val="0"/>
        <w:spacing w:after="0" w:line="360" w:lineRule="auto"/>
        <w:ind w:left="709"/>
        <w:jc w:val="both"/>
        <w:rPr>
          <w:rFonts w:ascii="Verdana" w:hAnsi="Verdana"/>
          <w:sz w:val="20"/>
        </w:rPr>
      </w:pPr>
    </w:p>
    <w:p w14:paraId="038DA282" w14:textId="77777777" w:rsidR="002A3D95" w:rsidRPr="00BE536E" w:rsidRDefault="002A3D95" w:rsidP="002A3D95">
      <w:pPr>
        <w:pStyle w:val="a0"/>
        <w:numPr>
          <w:ilvl w:val="0"/>
          <w:numId w:val="0"/>
        </w:numPr>
        <w:spacing w:before="0" w:after="0" w:line="360" w:lineRule="auto"/>
        <w:ind w:left="720"/>
        <w:jc w:val="both"/>
        <w:rPr>
          <w:rFonts w:ascii="Verdana" w:hAnsi="Verdana"/>
          <w:sz w:val="20"/>
        </w:rPr>
      </w:pPr>
      <w:r w:rsidRPr="00BE536E">
        <w:rPr>
          <w:rFonts w:ascii="Verdana" w:hAnsi="Verdana"/>
          <w:sz w:val="20"/>
        </w:rPr>
        <w:t>Раздел 5.  Расчет LGD</w:t>
      </w:r>
    </w:p>
    <w:p w14:paraId="6BA01537" w14:textId="77777777" w:rsidR="002A3D95" w:rsidRPr="00BE536E" w:rsidRDefault="002A3D95" w:rsidP="00567222">
      <w:pPr>
        <w:pStyle w:val="a0"/>
        <w:numPr>
          <w:ilvl w:val="0"/>
          <w:numId w:val="0"/>
        </w:numPr>
        <w:spacing w:before="0" w:after="0" w:line="360" w:lineRule="auto"/>
        <w:ind w:left="709"/>
        <w:jc w:val="both"/>
        <w:rPr>
          <w:rFonts w:ascii="Verdana" w:hAnsi="Verdana"/>
          <w:sz w:val="20"/>
        </w:rPr>
      </w:pPr>
    </w:p>
    <w:p w14:paraId="775ABD76" w14:textId="77777777" w:rsidR="002A3D95" w:rsidRPr="00BE536E" w:rsidRDefault="002A3D95" w:rsidP="00D05311">
      <w:pPr>
        <w:numPr>
          <w:ilvl w:val="1"/>
          <w:numId w:val="59"/>
        </w:numPr>
        <w:spacing w:after="0" w:line="360" w:lineRule="auto"/>
        <w:ind w:left="0" w:firstLine="851"/>
        <w:jc w:val="both"/>
        <w:rPr>
          <w:rFonts w:ascii="Verdana" w:hAnsi="Verdana"/>
          <w:sz w:val="20"/>
        </w:rPr>
      </w:pPr>
      <w:r w:rsidRPr="00BE536E">
        <w:rPr>
          <w:rFonts w:ascii="Verdana" w:hAnsi="Verdana"/>
          <w:sz w:val="20"/>
        </w:rPr>
        <w:t>LGD при использовании рейтингов международных рейтинговых агентств (в том числе при переходе к рейтингам через котировки облигаций) и использовании Moody’s speculative grade</w:t>
      </w:r>
      <w:r w:rsidRPr="00BE536E">
        <w:rPr>
          <w:rStyle w:val="ab"/>
          <w:rFonts w:ascii="Verdana" w:hAnsi="Verdana"/>
        </w:rPr>
        <w:footnoteReference w:id="27"/>
      </w:r>
      <w:r w:rsidRPr="00BE536E">
        <w:rPr>
          <w:rFonts w:ascii="Verdana" w:hAnsi="Verdana"/>
          <w:sz w:val="20"/>
        </w:rPr>
        <w:t xml:space="preserve"> берется из отчета по ежегодному исследованию корпоративных дефолтов (Annual default study), таблица Average senior unsecured bond recovery rates by year prior to default» с 1983 года на горизонте 1 год в соответствии с принадлежностью рейтинга контрагента / эмитента к группе рейтингов, для которых определяется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w:t>
      </w:r>
    </w:p>
    <w:p w14:paraId="6F235A04" w14:textId="77777777" w:rsidR="002A3D95" w:rsidRPr="00BE536E" w:rsidRDefault="002A3D95" w:rsidP="002A3D95">
      <w:pPr>
        <w:spacing w:line="360" w:lineRule="auto"/>
        <w:ind w:left="709"/>
        <w:rPr>
          <w:rFonts w:ascii="Verdana" w:hAnsi="Verdana"/>
          <w:sz w:val="20"/>
        </w:rPr>
      </w:pPr>
      <w:r w:rsidRPr="00BE536E">
        <w:rPr>
          <w:rFonts w:ascii="Verdana" w:hAnsi="Verdana"/>
          <w:sz w:val="20"/>
        </w:rPr>
        <w:t xml:space="preserve">Указанный пункт применяется только в случае невозможности определения </w:t>
      </w:r>
      <w:r w:rsidRPr="00BE536E">
        <w:rPr>
          <w:rFonts w:ascii="Verdana" w:hAnsi="Verdana"/>
          <w:sz w:val="20"/>
          <w:lang w:val="en-US"/>
        </w:rPr>
        <w:t>LGD</w:t>
      </w:r>
      <w:r w:rsidRPr="00BE536E">
        <w:rPr>
          <w:rFonts w:ascii="Verdana" w:hAnsi="Verdana"/>
          <w:sz w:val="20"/>
        </w:rPr>
        <w:t xml:space="preserve"> в соответствии с п. 5.13.</w:t>
      </w:r>
    </w:p>
    <w:p w14:paraId="3A4138ED"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LGD для физических лиц и МСБ при отсутствии обеспечения принимается равным 100%.</w:t>
      </w:r>
    </w:p>
    <w:p w14:paraId="73319E1B"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lastRenderedPageBreak/>
        <w:t xml:space="preserve">LGD в процентном отношении с учетом обеспечения определяется как отношение максимума между 0 и разностью суммы задолженности и ликвидационной стоимости обеспечения к сумме задолженности. </w:t>
      </w:r>
    </w:p>
    <w:p w14:paraId="518B72FC" w14:textId="77777777" w:rsidR="00F90F11" w:rsidRPr="00BE536E" w:rsidRDefault="00F90F11" w:rsidP="00D05311">
      <w:pPr>
        <w:numPr>
          <w:ilvl w:val="1"/>
          <w:numId w:val="59"/>
        </w:numPr>
        <w:autoSpaceDE w:val="0"/>
        <w:autoSpaceDN w:val="0"/>
        <w:spacing w:after="0" w:line="360" w:lineRule="auto"/>
        <w:ind w:left="142" w:firstLine="567"/>
        <w:jc w:val="both"/>
        <w:rPr>
          <w:sz w:val="24"/>
          <w:szCs w:val="24"/>
        </w:rPr>
      </w:pPr>
      <w:r w:rsidRPr="00BE536E">
        <w:rPr>
          <w:sz w:val="24"/>
          <w:szCs w:val="24"/>
        </w:rPr>
        <w:t xml:space="preserve">Для задолженности, обеспеченной поручительством, гарантией, опционным соглашением используется LGD поручителя, гаранта, контрагента по опционному соглашению на обеспеченную часть задолженности, если </w:t>
      </w:r>
      <w:r w:rsidRPr="00BE536E">
        <w:rPr>
          <w:sz w:val="24"/>
          <w:szCs w:val="24"/>
          <w:lang w:val="en-US"/>
        </w:rPr>
        <w:t>PD</w:t>
      </w:r>
      <w:r w:rsidRPr="00BE536E">
        <w:rPr>
          <w:sz w:val="24"/>
          <w:szCs w:val="24"/>
        </w:rPr>
        <w:t xml:space="preserve"> контрагента выше. Если поручителем по задолженности юридического лица выступает физическое лицо и, наоборот, то используется наименьшее из годовых значений показателей CoR поручителя и PD*LGD должника. (см. пункт 4.8)</w:t>
      </w:r>
    </w:p>
    <w:p w14:paraId="6DC70D14"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Для задолженности, обеспеченной договором страхования, в случае если такой договор заключен  со страховой компанией, имеющей уровень рейтинга не ниже BBB- (Baa3)  и</w:t>
      </w:r>
      <w:r w:rsidR="007762EF" w:rsidRPr="00BE536E">
        <w:rPr>
          <w:rFonts w:ascii="Verdana" w:hAnsi="Verdana"/>
          <w:sz w:val="20"/>
        </w:rPr>
        <w:t>ли</w:t>
      </w:r>
      <w:r w:rsidRPr="00BE536E">
        <w:rPr>
          <w:rFonts w:ascii="Verdana" w:hAnsi="Verdana"/>
          <w:sz w:val="20"/>
        </w:rPr>
        <w:t xml:space="preserve"> входящей в список одобренных для страхования недвижимости любым из банков, указанных в Приложении Б, обеспечение принимается на всю сумму страховки без дисконтирования. </w:t>
      </w:r>
      <w:r w:rsidR="007762EF" w:rsidRPr="00BE536E">
        <w:rPr>
          <w:sz w:val="24"/>
          <w:szCs w:val="24"/>
        </w:rPr>
        <w:t>(формула 5 не применяется)</w:t>
      </w:r>
    </w:p>
    <w:p w14:paraId="084DA8D0" w14:textId="77777777" w:rsidR="002A3D95" w:rsidRPr="00BE536E" w:rsidRDefault="00580CA7" w:rsidP="00D05311">
      <w:pPr>
        <w:numPr>
          <w:ilvl w:val="1"/>
          <w:numId w:val="59"/>
        </w:numPr>
        <w:autoSpaceDE w:val="0"/>
        <w:autoSpaceDN w:val="0"/>
        <w:spacing w:after="0" w:line="360" w:lineRule="auto"/>
        <w:ind w:left="0" w:firstLine="709"/>
        <w:jc w:val="both"/>
        <w:rPr>
          <w:rFonts w:ascii="Verdana" w:hAnsi="Verdana"/>
          <w:sz w:val="20"/>
        </w:rPr>
      </w:pPr>
      <w:r w:rsidRPr="00BE536E">
        <w:rPr>
          <w:sz w:val="24"/>
          <w:szCs w:val="24"/>
        </w:rPr>
        <w:t>В ином случае используется дисконтированная сумма страховки. Порядок определения дисконта (</w:t>
      </w:r>
      <w:r w:rsidRPr="00BE536E">
        <w:rPr>
          <w:sz w:val="24"/>
          <w:szCs w:val="24"/>
          <w:lang w:val="en-US"/>
        </w:rPr>
        <w:t>discount</w:t>
      </w:r>
      <w:r w:rsidRPr="00BE536E">
        <w:rPr>
          <w:sz w:val="24"/>
          <w:szCs w:val="24"/>
        </w:rPr>
        <w:t>)  и срока (</w:t>
      </w:r>
      <w:r w:rsidRPr="00BE536E">
        <w:rPr>
          <w:sz w:val="24"/>
          <w:szCs w:val="24"/>
          <w:lang w:val="en-US"/>
        </w:rPr>
        <w:t>T</w:t>
      </w:r>
      <w:r w:rsidRPr="00BE536E">
        <w:rPr>
          <w:sz w:val="24"/>
          <w:szCs w:val="24"/>
          <w:vertAlign w:val="subscript"/>
          <w:lang w:val="en-US"/>
        </w:rPr>
        <w:t>ex</w:t>
      </w:r>
      <w:r w:rsidRPr="00BE536E">
        <w:rPr>
          <w:sz w:val="24"/>
          <w:szCs w:val="24"/>
        </w:rPr>
        <w:t>) указан в описании формулы 5</w:t>
      </w:r>
      <w:r w:rsidR="002A3D95" w:rsidRPr="00BE536E">
        <w:rPr>
          <w:rFonts w:ascii="Verdana" w:hAnsi="Verdana"/>
          <w:sz w:val="20"/>
        </w:rPr>
        <w:t>.</w:t>
      </w:r>
    </w:p>
    <w:p w14:paraId="2651E072"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В качестве ликвидационной стоимости обеспечения принимается дисконтированная справедливая стоимость обеспечения / страховки по формуле:</w:t>
      </w:r>
    </w:p>
    <w:p w14:paraId="2E1C47B0" w14:textId="77777777" w:rsidR="002A3D95" w:rsidRPr="00BE536E" w:rsidRDefault="002A3D95" w:rsidP="002A3D95">
      <w:pPr>
        <w:autoSpaceDE w:val="0"/>
        <w:autoSpaceDN w:val="0"/>
        <w:spacing w:after="0" w:line="360" w:lineRule="auto"/>
        <w:ind w:left="709"/>
        <w:jc w:val="both"/>
        <w:rPr>
          <w:rFonts w:ascii="Verdana" w:hAnsi="Verdana"/>
          <w:sz w:val="20"/>
        </w:rPr>
      </w:pPr>
    </w:p>
    <w:p w14:paraId="0DF6EF5A" w14:textId="77777777" w:rsidR="002A3D95" w:rsidRPr="00BE536E" w:rsidRDefault="002A3D95" w:rsidP="002A3D95">
      <w:pPr>
        <w:autoSpaceDE w:val="0"/>
        <w:autoSpaceDN w:val="0"/>
        <w:spacing w:after="0" w:line="360" w:lineRule="auto"/>
        <w:ind w:firstLine="709"/>
        <w:jc w:val="both"/>
        <w:rPr>
          <w:rFonts w:ascii="Verdana" w:hAnsi="Verdana"/>
          <w:b/>
          <w:sz w:val="20"/>
        </w:rPr>
      </w:pPr>
      <w:r w:rsidRPr="00BE536E">
        <w:rPr>
          <w:rFonts w:ascii="Verdana" w:hAnsi="Verdana"/>
          <w:b/>
          <w:sz w:val="20"/>
        </w:rPr>
        <w:t xml:space="preserve">Формула </w:t>
      </w:r>
      <w:r w:rsidR="006700EB" w:rsidRPr="00BE536E">
        <w:rPr>
          <w:rFonts w:ascii="Verdana" w:hAnsi="Verdana"/>
          <w:b/>
          <w:sz w:val="20"/>
        </w:rPr>
        <w:t>5</w:t>
      </w:r>
      <w:r w:rsidRPr="00BE536E">
        <w:rPr>
          <w:rFonts w:ascii="Verdana" w:hAnsi="Verdana"/>
          <w:b/>
          <w:sz w:val="20"/>
        </w:rPr>
        <w:t>.</w:t>
      </w:r>
    </w:p>
    <w:p w14:paraId="5548FCF3" w14:textId="77777777" w:rsidR="00212D7C" w:rsidRPr="00BE536E" w:rsidRDefault="00212D7C" w:rsidP="00212D7C">
      <w:pPr>
        <w:spacing w:line="360" w:lineRule="auto"/>
        <w:ind w:firstLine="709"/>
        <w:rPr>
          <w:sz w:val="24"/>
          <w:szCs w:val="24"/>
        </w:rPr>
      </w:pPr>
      <m:oMath>
        <m:r>
          <w:rPr>
            <w:rFonts w:ascii="Cambria Math" w:hAnsi="Cambria Math"/>
          </w:rPr>
          <m:t>PV=</m:t>
        </m:r>
        <m:nary>
          <m:naryPr>
            <m:chr m:val="∑"/>
            <m:limLoc m:val="undOvr"/>
            <m:subHide m:val="1"/>
            <m:supHide m:val="1"/>
            <m:ctrlPr>
              <w:rPr>
                <w:rFonts w:ascii="Cambria Math" w:hAnsi="Cambria Math"/>
                <w:i/>
                <w:iCs/>
              </w:rPr>
            </m:ctrlPr>
          </m:naryPr>
          <m:sub/>
          <m:sup/>
          <m:e>
            <m:f>
              <m:fPr>
                <m:ctrlPr>
                  <w:rPr>
                    <w:rFonts w:ascii="Cambria Math" w:hAnsi="Cambria Math"/>
                    <w:i/>
                    <w:iCs/>
                  </w:rPr>
                </m:ctrlPr>
              </m:fPr>
              <m:num>
                <m:r>
                  <w:rPr>
                    <w:rFonts w:ascii="Cambria Math" w:hAnsi="Cambria Math"/>
                    <w:lang w:val="en-US"/>
                  </w:rPr>
                  <m:t>P</m:t>
                </m:r>
              </m:num>
              <m:den>
                <m:sSup>
                  <m:sSupPr>
                    <m:ctrlPr>
                      <w:rPr>
                        <w:rFonts w:ascii="Cambria Math" w:hAnsi="Cambria Math"/>
                        <w:i/>
                        <w:iCs/>
                      </w:rPr>
                    </m:ctrlPr>
                  </m:sSupPr>
                  <m:e>
                    <m:r>
                      <w:rPr>
                        <w:rFonts w:ascii="Cambria Math" w:hAnsi="Cambria Math"/>
                      </w:rPr>
                      <m:t>(1+</m:t>
                    </m:r>
                    <m:r>
                      <w:rPr>
                        <w:rFonts w:ascii="Cambria Math" w:hAnsi="Cambria Math"/>
                        <w:sz w:val="24"/>
                        <w:szCs w:val="24"/>
                      </w:rPr>
                      <m:t>R(T</m:t>
                    </m:r>
                    <m:d>
                      <m:dPr>
                        <m:ctrlPr>
                          <w:rPr>
                            <w:rFonts w:ascii="Cambria Math" w:hAnsi="Cambria Math"/>
                            <w:i/>
                            <w:sz w:val="24"/>
                            <w:szCs w:val="24"/>
                          </w:rPr>
                        </m:ctrlPr>
                      </m:dPr>
                      <m:e>
                        <m:r>
                          <w:rPr>
                            <w:rFonts w:ascii="Cambria Math" w:hAnsi="Cambria Math"/>
                            <w:sz w:val="24"/>
                            <w:szCs w:val="24"/>
                          </w:rPr>
                          <m:t>ex</m:t>
                        </m:r>
                      </m:e>
                    </m:d>
                    <m:r>
                      <w:rPr>
                        <w:rFonts w:ascii="Cambria Math" w:hAnsi="Cambria Math"/>
                        <w:sz w:val="24"/>
                        <w:szCs w:val="24"/>
                      </w:rPr>
                      <m:t>)</m:t>
                    </m:r>
                    <m:r>
                      <w:rPr>
                        <w:rFonts w:ascii="Cambria Math" w:hAnsi="Cambria Math"/>
                      </w:rPr>
                      <m:t>)</m:t>
                    </m:r>
                  </m:e>
                  <m:sup>
                    <m:sSub>
                      <m:sSubPr>
                        <m:ctrlPr>
                          <w:rPr>
                            <w:rFonts w:ascii="Cambria Math" w:hAnsi="Cambria Math"/>
                            <w:i/>
                            <w:iCs/>
                          </w:rPr>
                        </m:ctrlPr>
                      </m:sSubPr>
                      <m:e>
                        <m:r>
                          <w:rPr>
                            <w:rFonts w:ascii="Cambria Math" w:hAnsi="Cambria Math"/>
                          </w:rPr>
                          <m:t>T</m:t>
                        </m:r>
                      </m:e>
                      <m:sub>
                        <m:r>
                          <w:rPr>
                            <w:rFonts w:ascii="Cambria Math" w:hAnsi="Cambria Math"/>
                            <w:lang w:val="en-US"/>
                          </w:rPr>
                          <m:t>ex</m:t>
                        </m:r>
                      </m:sub>
                    </m:sSub>
                    <m:r>
                      <w:rPr>
                        <w:rFonts w:ascii="Cambria Math" w:hAnsi="Cambria Math"/>
                      </w:rPr>
                      <m:t>/365</m:t>
                    </m:r>
                  </m:sup>
                </m:sSup>
              </m:den>
            </m:f>
          </m:e>
        </m:nary>
        <m:r>
          <w:rPr>
            <w:rFonts w:ascii="Cambria Math" w:hAnsi="Cambria Math"/>
          </w:rPr>
          <m:t>*(1-discount)</m:t>
        </m:r>
      </m:oMath>
      <w:r w:rsidRPr="00BE536E">
        <w:t xml:space="preserve"> </w:t>
      </w:r>
      <w:r w:rsidRPr="00BE536E">
        <w:rPr>
          <w:sz w:val="24"/>
          <w:szCs w:val="24"/>
        </w:rPr>
        <w:t>, где</w:t>
      </w:r>
    </w:p>
    <w:p w14:paraId="6C1CEB63" w14:textId="77777777" w:rsidR="002A3D95" w:rsidRPr="00BE536E" w:rsidRDefault="002A3D95" w:rsidP="002A3D95">
      <w:pPr>
        <w:spacing w:line="360" w:lineRule="auto"/>
        <w:ind w:firstLine="709"/>
        <w:rPr>
          <w:rFonts w:ascii="Verdana" w:hAnsi="Verdana"/>
          <w:sz w:val="20"/>
        </w:rPr>
      </w:pPr>
      <w:r w:rsidRPr="00BE536E">
        <w:rPr>
          <w:rFonts w:ascii="Verdana" w:hAnsi="Verdana"/>
          <w:sz w:val="20"/>
          <w:lang w:val="en-US"/>
        </w:rPr>
        <w:t>PV</w:t>
      </w:r>
      <w:r w:rsidRPr="00BE536E">
        <w:rPr>
          <w:rFonts w:ascii="Verdana" w:hAnsi="Verdana"/>
          <w:sz w:val="20"/>
        </w:rPr>
        <w:t xml:space="preserve"> – дисконтированная справедливая стоимость обеспечения / страховки;</w:t>
      </w:r>
    </w:p>
    <w:p w14:paraId="2C7F317F" w14:textId="77777777" w:rsidR="002A3D95" w:rsidRPr="00BE536E" w:rsidRDefault="002A3D95" w:rsidP="002A3D95">
      <w:pPr>
        <w:spacing w:line="360" w:lineRule="auto"/>
        <w:ind w:firstLine="709"/>
        <w:jc w:val="both"/>
        <w:rPr>
          <w:rFonts w:ascii="Verdana" w:hAnsi="Verdana"/>
          <w:sz w:val="20"/>
        </w:rPr>
      </w:pPr>
      <w:r w:rsidRPr="00BE536E">
        <w:rPr>
          <w:rFonts w:ascii="Verdana" w:hAnsi="Verdana"/>
          <w:sz w:val="20"/>
          <w:lang w:val="en-US"/>
        </w:rPr>
        <w:t>P</w:t>
      </w:r>
      <w:r w:rsidRPr="00BE536E">
        <w:rPr>
          <w:rFonts w:ascii="Verdana" w:hAnsi="Verdana"/>
          <w:sz w:val="20"/>
        </w:rPr>
        <w:t xml:space="preserve"> - Справедливая  стоимость обеспечения, определенная в соответствии с настоящими Правилами определения СЧА / сумма покрытия задолженности по договору страхования;</w:t>
      </w:r>
    </w:p>
    <w:p w14:paraId="269AAAC8" w14:textId="77777777" w:rsidR="00F55024" w:rsidRPr="00BE536E" w:rsidRDefault="00F55024" w:rsidP="002A3D95">
      <w:pPr>
        <w:spacing w:line="360" w:lineRule="auto"/>
        <w:ind w:firstLine="709"/>
        <w:jc w:val="both"/>
        <w:rPr>
          <w:sz w:val="24"/>
          <w:szCs w:val="24"/>
        </w:rPr>
      </w:pPr>
      <w:r w:rsidRPr="00BE536E">
        <w:rPr>
          <w:sz w:val="24"/>
          <w:szCs w:val="24"/>
          <w:lang w:val="en-US"/>
        </w:rPr>
        <w:t>T</w:t>
      </w:r>
      <w:r w:rsidRPr="00BE536E">
        <w:rPr>
          <w:sz w:val="24"/>
          <w:szCs w:val="24"/>
          <w:vertAlign w:val="subscript"/>
          <w:lang w:val="en-US"/>
        </w:rPr>
        <w:t>ex</w:t>
      </w:r>
      <w:r w:rsidR="002A3D95" w:rsidRPr="00BE536E">
        <w:rPr>
          <w:rFonts w:ascii="Verdana" w:hAnsi="Verdana"/>
          <w:sz w:val="20"/>
        </w:rPr>
        <w:t xml:space="preserve"> – </w:t>
      </w:r>
      <w:r w:rsidRPr="00BE536E">
        <w:rPr>
          <w:sz w:val="24"/>
          <w:szCs w:val="24"/>
        </w:rPr>
        <w:t>количество дней от даты определения СЧА до даты ожидаемого поступления обеспечения в случае нарушения обязательств контрагентом, согласно условиям договора или на основании мотивированного суждения управляющей компании, если срок невозможно установить однозначно, исходя из условий договора, в том числе</w:t>
      </w:r>
    </w:p>
    <w:p w14:paraId="169685BD" w14:textId="77777777" w:rsidR="00F55024" w:rsidRPr="00BE536E" w:rsidRDefault="00D703EA" w:rsidP="00D05311">
      <w:pPr>
        <w:numPr>
          <w:ilvl w:val="0"/>
          <w:numId w:val="84"/>
        </w:numPr>
        <w:spacing w:after="0" w:line="360" w:lineRule="auto"/>
        <w:ind w:left="0" w:firstLine="1068"/>
        <w:jc w:val="both"/>
        <w:rPr>
          <w:sz w:val="24"/>
          <w:szCs w:val="24"/>
        </w:rPr>
      </w:pPr>
      <w:bookmarkStart w:id="19" w:name="_Hlk75288058"/>
      <w:r w:rsidRPr="00BE536E">
        <w:rPr>
          <w:rFonts w:ascii="Verdana" w:hAnsi="Verdana"/>
          <w:szCs w:val="20"/>
        </w:rPr>
        <w:t xml:space="preserve">Для задолженности, обеспеченной залогом, </w:t>
      </w:r>
      <w:r w:rsidRPr="00BE536E">
        <w:rPr>
          <w:rFonts w:ascii="Verdana" w:eastAsia="Batang" w:hAnsi="Verdana"/>
          <w:szCs w:val="20"/>
          <w:lang w:val="en-US"/>
        </w:rPr>
        <w:t>T</w:t>
      </w:r>
      <w:r w:rsidRPr="00BE536E">
        <w:rPr>
          <w:rFonts w:ascii="Verdana" w:eastAsia="Batang" w:hAnsi="Verdana"/>
          <w:szCs w:val="20"/>
          <w:vertAlign w:val="subscript"/>
          <w:lang w:val="en-US"/>
        </w:rPr>
        <w:t>ex</w:t>
      </w:r>
      <w:r w:rsidRPr="00BE536E">
        <w:rPr>
          <w:rFonts w:ascii="Verdana" w:hAnsi="Verdana"/>
          <w:szCs w:val="20"/>
        </w:rPr>
        <w:t xml:space="preserve"> определяется мотивированным суждением. Срок получения денежных средств, полученных от </w:t>
      </w:r>
      <w:r w:rsidRPr="00BE536E">
        <w:rPr>
          <w:rFonts w:ascii="Verdana" w:hAnsi="Verdana"/>
          <w:szCs w:val="20"/>
        </w:rPr>
        <w:lastRenderedPageBreak/>
        <w:t>реализации предмета залога, определяется исходя из условий договора залога и сущности предмета залога</w:t>
      </w:r>
      <w:bookmarkEnd w:id="19"/>
      <w:r w:rsidR="00F55024" w:rsidRPr="00BE536E">
        <w:rPr>
          <w:sz w:val="24"/>
          <w:szCs w:val="24"/>
        </w:rPr>
        <w:t>.</w:t>
      </w:r>
    </w:p>
    <w:p w14:paraId="2795574A" w14:textId="77777777" w:rsidR="00F55024" w:rsidRPr="00BE536E" w:rsidRDefault="00F55024" w:rsidP="00D05311">
      <w:pPr>
        <w:numPr>
          <w:ilvl w:val="0"/>
          <w:numId w:val="84"/>
        </w:numPr>
        <w:suppressAutoHyphens/>
        <w:autoSpaceDE w:val="0"/>
        <w:spacing w:after="0" w:line="360" w:lineRule="auto"/>
        <w:ind w:left="0" w:firstLine="1068"/>
        <w:jc w:val="both"/>
        <w:rPr>
          <w:sz w:val="24"/>
          <w:szCs w:val="24"/>
        </w:rPr>
      </w:pPr>
      <w:r w:rsidRPr="00BE536E">
        <w:rPr>
          <w:sz w:val="24"/>
          <w:szCs w:val="24"/>
        </w:rPr>
        <w:t xml:space="preserve">Для задолженности, обеспеченной договором страхования, </w:t>
      </w:r>
      <w:r w:rsidRPr="00BE536E">
        <w:rPr>
          <w:sz w:val="24"/>
          <w:szCs w:val="24"/>
          <w:lang w:val="en-US"/>
        </w:rPr>
        <w:t>T</w:t>
      </w:r>
      <w:r w:rsidRPr="00BE536E">
        <w:rPr>
          <w:sz w:val="24"/>
          <w:szCs w:val="24"/>
          <w:vertAlign w:val="subscript"/>
          <w:lang w:val="en-US"/>
        </w:rPr>
        <w:t>ex</w:t>
      </w:r>
      <w:r w:rsidRPr="00BE536E">
        <w:rPr>
          <w:sz w:val="24"/>
          <w:szCs w:val="24"/>
        </w:rPr>
        <w:t xml:space="preserve"> определяется с учетом сроков выплаты по договору страхования при наступлении дефолта контрагента (признании контрагента неплатежеспособным) или на основании мотивированного суждения управляющей компании, если срок возмещения невозможно установить однозначно, исходя из условий договора.</w:t>
      </w:r>
    </w:p>
    <w:p w14:paraId="27426B21" w14:textId="77777777" w:rsidR="00F55024" w:rsidRPr="00BE536E" w:rsidRDefault="00F55024" w:rsidP="00D05311">
      <w:pPr>
        <w:numPr>
          <w:ilvl w:val="0"/>
          <w:numId w:val="84"/>
        </w:numPr>
        <w:suppressAutoHyphens/>
        <w:autoSpaceDE w:val="0"/>
        <w:spacing w:after="0" w:line="360" w:lineRule="auto"/>
        <w:ind w:left="0" w:firstLine="1068"/>
        <w:rPr>
          <w:sz w:val="24"/>
          <w:szCs w:val="24"/>
        </w:rPr>
      </w:pPr>
      <w:r w:rsidRPr="00BE536E">
        <w:rPr>
          <w:sz w:val="24"/>
          <w:szCs w:val="24"/>
        </w:rPr>
        <w:t>Для случаев судебных разбирательств (планируемых или текущих) с залогодателем / страховщиком, срок не может составлять менее 6 месяцев.</w:t>
      </w:r>
    </w:p>
    <w:p w14:paraId="3A14A223" w14:textId="77777777" w:rsidR="00FE4DA6" w:rsidRPr="00BE536E" w:rsidRDefault="00FE4DA6" w:rsidP="00FE4DA6">
      <w:pPr>
        <w:spacing w:line="360" w:lineRule="auto"/>
        <w:ind w:firstLine="709"/>
        <w:rPr>
          <w:rFonts w:eastAsia="Batang"/>
          <w:sz w:val="24"/>
          <w:szCs w:val="24"/>
        </w:rPr>
      </w:pPr>
      <w:r w:rsidRPr="00BE536E">
        <w:rPr>
          <w:rFonts w:eastAsia="Batang"/>
          <w:sz w:val="24"/>
          <w:szCs w:val="24"/>
        </w:rPr>
        <w:t xml:space="preserve"> </w:t>
      </w:r>
      <w:r w:rsidRPr="00BE536E">
        <w:rPr>
          <w:rFonts w:eastAsia="Batang"/>
          <w:sz w:val="24"/>
          <w:szCs w:val="24"/>
          <w:lang w:val="en-US"/>
        </w:rPr>
        <w:t>R</w:t>
      </w:r>
      <w:r w:rsidRPr="00BE536E">
        <w:rPr>
          <w:rFonts w:eastAsia="Batang"/>
          <w:sz w:val="24"/>
          <w:szCs w:val="24"/>
        </w:rPr>
        <w:t>(</w:t>
      </w:r>
      <w:r w:rsidRPr="00BE536E">
        <w:rPr>
          <w:rFonts w:eastAsia="Batang"/>
          <w:sz w:val="24"/>
          <w:szCs w:val="24"/>
          <w:lang w:val="en-US"/>
        </w:rPr>
        <w:t>T</w:t>
      </w:r>
      <w:r w:rsidRPr="00BE536E">
        <w:rPr>
          <w:rFonts w:eastAsia="Batang"/>
          <w:sz w:val="24"/>
          <w:szCs w:val="24"/>
        </w:rPr>
        <w:t>(</w:t>
      </w:r>
      <w:r w:rsidRPr="00BE536E">
        <w:rPr>
          <w:rFonts w:eastAsia="Batang"/>
          <w:sz w:val="24"/>
          <w:szCs w:val="24"/>
          <w:vertAlign w:val="subscript"/>
          <w:lang w:val="en-US"/>
        </w:rPr>
        <w:t>ex</w:t>
      </w:r>
      <w:r w:rsidRPr="00BE536E">
        <w:rPr>
          <w:rFonts w:eastAsia="Batang"/>
          <w:sz w:val="24"/>
          <w:szCs w:val="24"/>
        </w:rPr>
        <w:t xml:space="preserve">)) – безрисковая ставка на сроке </w:t>
      </w:r>
      <w:r w:rsidRPr="00BE536E">
        <w:rPr>
          <w:rFonts w:ascii="Cambria Math" w:eastAsia="Batang" w:hAnsi="Cambria Math" w:cs="Cambria Math"/>
          <w:sz w:val="24"/>
          <w:szCs w:val="24"/>
        </w:rPr>
        <w:t>𝑇</w:t>
      </w:r>
      <w:r w:rsidRPr="00BE536E">
        <w:rPr>
          <w:rFonts w:ascii="Cambria Math" w:eastAsia="Batang" w:hAnsi="Cambria Math" w:cs="Cambria Math"/>
          <w:sz w:val="24"/>
          <w:szCs w:val="24"/>
          <w:vertAlign w:val="subscript"/>
          <w:lang w:val="en-US"/>
        </w:rPr>
        <w:t>ex</w:t>
      </w:r>
      <w:r w:rsidRPr="00BE536E">
        <w:rPr>
          <w:rFonts w:eastAsia="Batang"/>
          <w:sz w:val="24"/>
          <w:szCs w:val="24"/>
        </w:rPr>
        <w:t>.</w:t>
      </w:r>
    </w:p>
    <w:p w14:paraId="449CE7B0" w14:textId="77777777" w:rsidR="002A3D95" w:rsidRPr="00BE536E" w:rsidRDefault="002A3D95" w:rsidP="002A3D95">
      <w:pPr>
        <w:spacing w:line="360" w:lineRule="auto"/>
        <w:ind w:firstLine="709"/>
        <w:rPr>
          <w:rFonts w:ascii="Verdana" w:hAnsi="Verdana"/>
          <w:sz w:val="20"/>
        </w:rPr>
      </w:pPr>
      <w:r w:rsidRPr="00BE536E">
        <w:rPr>
          <w:rFonts w:ascii="Verdana" w:hAnsi="Verdana"/>
          <w:sz w:val="20"/>
          <w:lang w:val="en-US"/>
        </w:rPr>
        <w:t>duscount</w:t>
      </w:r>
      <w:r w:rsidRPr="00BE536E">
        <w:rPr>
          <w:rFonts w:ascii="Verdana" w:hAnsi="Verdana"/>
          <w:sz w:val="20"/>
        </w:rPr>
        <w:t xml:space="preserve"> – дисконт, определяемый в следующем порядке:</w:t>
      </w:r>
    </w:p>
    <w:p w14:paraId="52713602" w14:textId="77777777" w:rsidR="002A3D95" w:rsidRPr="00BE536E" w:rsidRDefault="002A3D95" w:rsidP="002A3D95">
      <w:pPr>
        <w:spacing w:line="360" w:lineRule="auto"/>
        <w:ind w:firstLine="709"/>
        <w:rPr>
          <w:rFonts w:ascii="Verdana" w:hAnsi="Verdana"/>
          <w:sz w:val="20"/>
        </w:rPr>
      </w:pPr>
      <w:r w:rsidRPr="00BE536E">
        <w:rPr>
          <w:rFonts w:ascii="Verdana" w:hAnsi="Verdana"/>
          <w:sz w:val="20"/>
        </w:rPr>
        <w:t xml:space="preserve">В отношении задолженности, обеспеченной торгуемыми ценными бумагами: </w:t>
      </w:r>
    </w:p>
    <w:p w14:paraId="5C31DA38" w14:textId="77777777" w:rsidR="002A3D95" w:rsidRPr="00BE536E" w:rsidRDefault="002A3D95" w:rsidP="00D05311">
      <w:pPr>
        <w:numPr>
          <w:ilvl w:val="0"/>
          <w:numId w:val="55"/>
        </w:numPr>
        <w:tabs>
          <w:tab w:val="left" w:pos="993"/>
        </w:tabs>
        <w:autoSpaceDE w:val="0"/>
        <w:autoSpaceDN w:val="0"/>
        <w:spacing w:after="0" w:line="360" w:lineRule="auto"/>
        <w:ind w:left="0" w:firstLine="709"/>
        <w:jc w:val="both"/>
        <w:rPr>
          <w:rFonts w:ascii="Verdana" w:hAnsi="Verdana"/>
          <w:sz w:val="20"/>
        </w:rPr>
      </w:pPr>
      <w:r w:rsidRPr="00BE536E">
        <w:rPr>
          <w:rFonts w:ascii="Verdana" w:hAnsi="Verdana"/>
          <w:sz w:val="20"/>
        </w:rPr>
        <w:t>для ценных бумаг, используемых для обеспечения по сделкам РЕПО на Московской бирже – соответствующий дисконт для сделок РЕПО</w:t>
      </w:r>
      <w:r w:rsidRPr="00BE536E">
        <w:rPr>
          <w:rStyle w:val="ab"/>
          <w:rFonts w:ascii="Verdana" w:hAnsi="Verdana"/>
        </w:rPr>
        <w:footnoteReference w:id="28"/>
      </w:r>
      <w:r w:rsidRPr="00BE536E">
        <w:rPr>
          <w:rFonts w:ascii="Verdana" w:hAnsi="Verdana"/>
          <w:sz w:val="20"/>
        </w:rPr>
        <w:t>;</w:t>
      </w:r>
    </w:p>
    <w:p w14:paraId="7F8D7AF8" w14:textId="77777777" w:rsidR="002A3D95" w:rsidRPr="00BE536E" w:rsidRDefault="002A3D95" w:rsidP="00D05311">
      <w:pPr>
        <w:numPr>
          <w:ilvl w:val="0"/>
          <w:numId w:val="55"/>
        </w:numPr>
        <w:tabs>
          <w:tab w:val="left" w:pos="993"/>
        </w:tabs>
        <w:autoSpaceDE w:val="0"/>
        <w:autoSpaceDN w:val="0"/>
        <w:spacing w:after="0" w:line="360" w:lineRule="auto"/>
        <w:ind w:left="0" w:firstLine="709"/>
        <w:jc w:val="both"/>
        <w:rPr>
          <w:rFonts w:ascii="Verdana" w:hAnsi="Verdana"/>
          <w:sz w:val="20"/>
        </w:rPr>
      </w:pPr>
      <w:r w:rsidRPr="00BE536E">
        <w:rPr>
          <w:rFonts w:ascii="Verdana" w:hAnsi="Verdana"/>
          <w:sz w:val="20"/>
        </w:rPr>
        <w:t>для акций иностранных эмитентов, торгуемых на организованных рынках стран ОЭСР:</w:t>
      </w:r>
    </w:p>
    <w:p w14:paraId="71B37A1F" w14:textId="77777777" w:rsidR="002A3D95" w:rsidRPr="00BE536E" w:rsidRDefault="002A3D95" w:rsidP="00D05311">
      <w:pPr>
        <w:numPr>
          <w:ilvl w:val="0"/>
          <w:numId w:val="91"/>
        </w:numPr>
        <w:tabs>
          <w:tab w:val="left" w:pos="993"/>
        </w:tabs>
        <w:autoSpaceDE w:val="0"/>
        <w:autoSpaceDN w:val="0"/>
        <w:spacing w:after="0" w:line="360" w:lineRule="auto"/>
        <w:jc w:val="both"/>
        <w:rPr>
          <w:rFonts w:ascii="Verdana" w:hAnsi="Verdana"/>
          <w:sz w:val="20"/>
        </w:rPr>
      </w:pPr>
      <w:r w:rsidRPr="00BE536E">
        <w:rPr>
          <w:rFonts w:ascii="Verdana" w:hAnsi="Verdana"/>
          <w:sz w:val="20"/>
        </w:rPr>
        <w:t>входящих в индексы акций стран ОЭСР – как средний дисконт для сделок РЕПО на Московской бирже из трех акций с самым близким по объему среднемесячным за последние 6 мес. оборотом;</w:t>
      </w:r>
    </w:p>
    <w:p w14:paraId="0D60E52F" w14:textId="77777777" w:rsidR="002A3D95" w:rsidRPr="00BE536E" w:rsidRDefault="002A3D95" w:rsidP="00D05311">
      <w:pPr>
        <w:numPr>
          <w:ilvl w:val="0"/>
          <w:numId w:val="91"/>
        </w:numPr>
        <w:tabs>
          <w:tab w:val="left" w:pos="993"/>
        </w:tabs>
        <w:autoSpaceDE w:val="0"/>
        <w:autoSpaceDN w:val="0"/>
        <w:spacing w:after="0" w:line="360" w:lineRule="auto"/>
        <w:jc w:val="both"/>
        <w:rPr>
          <w:rFonts w:ascii="Verdana" w:hAnsi="Verdana"/>
          <w:sz w:val="20"/>
        </w:rPr>
      </w:pPr>
      <w:r w:rsidRPr="00BE536E">
        <w:rPr>
          <w:rFonts w:ascii="Verdana" w:hAnsi="Verdana"/>
          <w:sz w:val="20"/>
        </w:rPr>
        <w:t>не входящих в индексы акций стран ОЭСР – как максимальный дисконт для сделок РЕПО на Московской бирже с акциями из индекса ММВБ;</w:t>
      </w:r>
    </w:p>
    <w:p w14:paraId="59450188" w14:textId="77777777" w:rsidR="002A3D95" w:rsidRPr="00BE536E" w:rsidRDefault="002A3D95" w:rsidP="00D05311">
      <w:pPr>
        <w:numPr>
          <w:ilvl w:val="0"/>
          <w:numId w:val="55"/>
        </w:numPr>
        <w:tabs>
          <w:tab w:val="left" w:pos="993"/>
        </w:tabs>
        <w:autoSpaceDE w:val="0"/>
        <w:autoSpaceDN w:val="0"/>
        <w:spacing w:after="0" w:line="360" w:lineRule="auto"/>
        <w:ind w:left="0" w:firstLine="709"/>
        <w:jc w:val="both"/>
        <w:rPr>
          <w:rFonts w:ascii="Verdana" w:hAnsi="Verdana"/>
          <w:sz w:val="20"/>
        </w:rPr>
      </w:pPr>
      <w:r w:rsidRPr="00BE536E">
        <w:rPr>
          <w:rFonts w:ascii="Verdana" w:hAnsi="Verdana"/>
          <w:sz w:val="20"/>
        </w:rPr>
        <w:t xml:space="preserve">для облигаций с рейтингами Moody’s , S&amp;P или Fitch – как средний дисконт для сделок РЕПО на Московской бирже из списка трех  облигаций, обладающих  таким же рейтингом (либо меньшим, при отсутствии равных) и самой близкой дюрацией. </w:t>
      </w:r>
    </w:p>
    <w:p w14:paraId="4758A6DB" w14:textId="77777777" w:rsidR="002A3D95" w:rsidRPr="00BE536E" w:rsidRDefault="002A3D95" w:rsidP="002A3D95">
      <w:pPr>
        <w:autoSpaceDE w:val="0"/>
        <w:autoSpaceDN w:val="0"/>
        <w:spacing w:after="0" w:line="360" w:lineRule="auto"/>
        <w:ind w:firstLine="709"/>
        <w:jc w:val="both"/>
        <w:rPr>
          <w:rFonts w:ascii="Verdana" w:hAnsi="Verdana"/>
          <w:sz w:val="20"/>
        </w:rPr>
      </w:pPr>
      <w:r w:rsidRPr="00BE536E">
        <w:rPr>
          <w:rFonts w:ascii="Verdana" w:hAnsi="Verdana"/>
          <w:sz w:val="20"/>
        </w:rPr>
        <w:t>В отношении задолженности, обеспеченной договором страхования (за исключением случая, указанного в п. 5.5.</w:t>
      </w:r>
      <w:r w:rsidR="00AE2A35" w:rsidRPr="00BE536E">
        <w:rPr>
          <w:rFonts w:ascii="Verdana" w:hAnsi="Verdana"/>
          <w:sz w:val="20"/>
        </w:rPr>
        <w:t>)</w:t>
      </w:r>
      <w:r w:rsidRPr="00BE536E">
        <w:rPr>
          <w:rFonts w:ascii="Verdana" w:hAnsi="Verdana"/>
          <w:sz w:val="20"/>
        </w:rPr>
        <w:t>:</w:t>
      </w:r>
    </w:p>
    <w:p w14:paraId="2F060157" w14:textId="77777777" w:rsidR="002A3D95" w:rsidRPr="00BE536E" w:rsidRDefault="002A3D95" w:rsidP="00D05311">
      <w:pPr>
        <w:numPr>
          <w:ilvl w:val="0"/>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Если страховой компании присвоен рейтинг ниже BBB- (Baa3) и компания  является </w:t>
      </w:r>
      <w:r w:rsidR="00FE4DA6" w:rsidRPr="00BE536E">
        <w:rPr>
          <w:rFonts w:ascii="Verdana" w:hAnsi="Verdana"/>
          <w:sz w:val="20"/>
        </w:rPr>
        <w:t xml:space="preserve">не </w:t>
      </w:r>
      <w:r w:rsidRPr="00BE536E">
        <w:rPr>
          <w:rFonts w:ascii="Verdana" w:hAnsi="Verdana"/>
          <w:sz w:val="20"/>
        </w:rPr>
        <w:t xml:space="preserve">одобренной ни одним банком из приложения Б – дисконт рассчитывается как </w:t>
      </w:r>
      <w:r w:rsidR="006A36BA" w:rsidRPr="00BE536E">
        <w:rPr>
          <w:rFonts w:ascii="Verdana" w:hAnsi="Verdana"/>
          <w:sz w:val="20"/>
        </w:rPr>
        <w:lastRenderedPageBreak/>
        <w:t xml:space="preserve">произведение </w:t>
      </w:r>
      <w:r w:rsidRPr="00BE536E">
        <w:rPr>
          <w:rFonts w:ascii="Verdana" w:hAnsi="Verdana"/>
          <w:sz w:val="20"/>
        </w:rPr>
        <w:t xml:space="preserve">PD страховой компании </w:t>
      </w:r>
      <w:r w:rsidR="006A36BA" w:rsidRPr="00BE536E">
        <w:rPr>
          <w:rFonts w:ascii="Verdana" w:hAnsi="Verdana"/>
          <w:sz w:val="20"/>
        </w:rPr>
        <w:t>на</w:t>
      </w:r>
      <w:r w:rsidRPr="00BE536E">
        <w:rPr>
          <w:rFonts w:ascii="Verdana" w:hAnsi="Verdana"/>
          <w:sz w:val="20"/>
        </w:rPr>
        <w:t xml:space="preserve"> LGD страховой компании. Отбор </w:t>
      </w:r>
      <w:r w:rsidRPr="00BE536E">
        <w:rPr>
          <w:rFonts w:ascii="Verdana" w:hAnsi="Verdana"/>
          <w:sz w:val="20"/>
          <w:lang w:val="en-US"/>
        </w:rPr>
        <w:t>PD</w:t>
      </w:r>
      <w:r w:rsidRPr="00BE536E">
        <w:rPr>
          <w:rFonts w:ascii="Verdana" w:hAnsi="Verdana"/>
          <w:sz w:val="20"/>
        </w:rPr>
        <w:t xml:space="preserve"> для рейтинга страховой компании осуществляется в соответствии с порядком, установленным в Разделе 4.</w:t>
      </w:r>
    </w:p>
    <w:p w14:paraId="146E4205" w14:textId="77777777" w:rsidR="000C70AE" w:rsidRPr="00BE536E" w:rsidRDefault="000C70AE" w:rsidP="00D05311">
      <w:pPr>
        <w:numPr>
          <w:ilvl w:val="0"/>
          <w:numId w:val="56"/>
        </w:numPr>
        <w:autoSpaceDE w:val="0"/>
        <w:autoSpaceDN w:val="0"/>
        <w:spacing w:after="0" w:line="360" w:lineRule="auto"/>
        <w:ind w:left="0" w:firstLine="709"/>
        <w:jc w:val="both"/>
        <w:rPr>
          <w:sz w:val="24"/>
          <w:szCs w:val="24"/>
        </w:rPr>
      </w:pPr>
      <w:r w:rsidRPr="00BE536E">
        <w:rPr>
          <w:sz w:val="24"/>
          <w:szCs w:val="24"/>
        </w:rPr>
        <w:t>Если страховой компании не присвоен рейтинг</w:t>
      </w:r>
      <w:r w:rsidRPr="00BE536E">
        <w:t xml:space="preserve"> и страховая </w:t>
      </w:r>
      <w:r w:rsidRPr="00BE536E">
        <w:rPr>
          <w:sz w:val="24"/>
          <w:szCs w:val="24"/>
        </w:rPr>
        <w:t xml:space="preserve">компания является не одобренной для страхования недвижимости ни одним банком из приложения Б, дисконт рассчитывается как произведение  PD для рейтинга Caa и  LGD. При этом размер LGD признается равным 100%. Отбор </w:t>
      </w:r>
      <w:r w:rsidRPr="00BE536E">
        <w:rPr>
          <w:sz w:val="24"/>
          <w:szCs w:val="24"/>
          <w:lang w:val="en-US"/>
        </w:rPr>
        <w:t>PD</w:t>
      </w:r>
      <w:r w:rsidRPr="00BE536E">
        <w:rPr>
          <w:sz w:val="24"/>
          <w:szCs w:val="24"/>
        </w:rPr>
        <w:t xml:space="preserve"> для рейтинга </w:t>
      </w:r>
      <w:r w:rsidRPr="00BE536E">
        <w:rPr>
          <w:sz w:val="24"/>
          <w:szCs w:val="24"/>
          <w:lang w:val="en-US"/>
        </w:rPr>
        <w:t>Caa</w:t>
      </w:r>
      <w:r w:rsidRPr="00BE536E">
        <w:rPr>
          <w:sz w:val="24"/>
          <w:szCs w:val="24"/>
        </w:rPr>
        <w:t xml:space="preserve"> осуществляется в соответствии с порядком, установленным в Разделе 4.</w:t>
      </w:r>
    </w:p>
    <w:p w14:paraId="64E7845E"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При наличии поручительства (гарантий, страховок, опционных соглашений) юридических лиц на всю или часть задолженности (стоимости актива): </w:t>
      </w:r>
    </w:p>
    <w:p w14:paraId="20CE0016" w14:textId="77777777" w:rsidR="002A3D95" w:rsidRPr="00BE536E" w:rsidRDefault="002A3D95" w:rsidP="00D05311">
      <w:pPr>
        <w:numPr>
          <w:ilvl w:val="2"/>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Если поручитель/гарант/страховщик находится в состоянии обесценения по сравнению с моментом возникновения задолженности, его обязательства принимаются в расчет с учетом обесценения.</w:t>
      </w:r>
    </w:p>
    <w:p w14:paraId="19E62216" w14:textId="77777777" w:rsidR="002A3D95" w:rsidRPr="00BE536E" w:rsidRDefault="002A3D95" w:rsidP="00D05311">
      <w:pPr>
        <w:numPr>
          <w:ilvl w:val="2"/>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Необеспеченные обязательства поручителя/гаранта/страховщика, находящегося в состоянии дефолта, не принимаются для расчета.</w:t>
      </w:r>
    </w:p>
    <w:p w14:paraId="2CB67485" w14:textId="77777777" w:rsidR="002A3D95" w:rsidRPr="00BE536E" w:rsidRDefault="002A3D95" w:rsidP="00D05311">
      <w:pPr>
        <w:numPr>
          <w:ilvl w:val="2"/>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Обеспеченные обязательства гаранта/поручителя/страховщика принимаются с учетом обеспечения в соответствии с правилами, установленными настоящим разделом.</w:t>
      </w:r>
    </w:p>
    <w:p w14:paraId="6EA0D394"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Обеспечение, находящееся в залоге и принадлежащее контрагенту, находящемуся в состоянии дефолта (в том числе в </w:t>
      </w:r>
      <w:r w:rsidR="000F54B5" w:rsidRPr="00BE536E">
        <w:rPr>
          <w:rFonts w:ascii="Verdana" w:hAnsi="Verdana"/>
          <w:sz w:val="20"/>
        </w:rPr>
        <w:t>процессе</w:t>
      </w:r>
      <w:r w:rsidRPr="00BE536E">
        <w:rPr>
          <w:rFonts w:ascii="Verdana" w:hAnsi="Verdana"/>
          <w:sz w:val="20"/>
        </w:rPr>
        <w:t xml:space="preserve"> банкротства), может приниматься только по отчету оценщика, с учетом возможности и сроков получения залога. </w:t>
      </w:r>
    </w:p>
    <w:p w14:paraId="2AE1B6A0"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Для жилой недвижимости </w:t>
      </w:r>
      <w:r w:rsidRPr="00BE536E">
        <w:rPr>
          <w:rFonts w:ascii="Verdana" w:hAnsi="Verdana"/>
          <w:sz w:val="20"/>
          <w:lang w:val="en-US"/>
        </w:rPr>
        <w:t>LGD</w:t>
      </w:r>
      <w:r w:rsidRPr="00BE536E">
        <w:rPr>
          <w:rFonts w:ascii="Verdana" w:hAnsi="Verdana"/>
          <w:sz w:val="20"/>
        </w:rPr>
        <w:t xml:space="preserve"> может приниматься в размере не менее чем 15% от текущей стоимости обеспечения. </w:t>
      </w:r>
    </w:p>
    <w:p w14:paraId="3027D44B"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Для нежилой и коммерческой жилой</w:t>
      </w:r>
      <w:r w:rsidRPr="00BE536E">
        <w:rPr>
          <w:rStyle w:val="ab"/>
          <w:rFonts w:ascii="Verdana" w:hAnsi="Verdana"/>
        </w:rPr>
        <w:footnoteReference w:id="29"/>
      </w:r>
      <w:r w:rsidRPr="00BE536E">
        <w:rPr>
          <w:rFonts w:ascii="Verdana" w:hAnsi="Verdana"/>
          <w:sz w:val="20"/>
        </w:rPr>
        <w:t xml:space="preserve"> недвижимости – согласно оценке оценщика, сделанной с учетом срока и порядка получения в результате взыскания и продажи обеспечения в случае дефолта, с учетом приведения по срокам получения к моменту дефолта. </w:t>
      </w:r>
    </w:p>
    <w:p w14:paraId="0308159F"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В случае дебиторской задолженности по аренде при использовании обеспечительного или гарантийного депозита данный депозит может учитываться как ликвидационная стоимость обеспечения без дисконтирования.</w:t>
      </w:r>
    </w:p>
    <w:p w14:paraId="6832161A"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Определение </w:t>
      </w:r>
      <w:r w:rsidRPr="00BE536E">
        <w:rPr>
          <w:rFonts w:ascii="Verdana" w:hAnsi="Verdana"/>
          <w:sz w:val="20"/>
          <w:lang w:val="en-US"/>
        </w:rPr>
        <w:t>LGD</w:t>
      </w:r>
      <w:r w:rsidRPr="00BE536E">
        <w:rPr>
          <w:rFonts w:ascii="Verdana" w:hAnsi="Verdana"/>
          <w:sz w:val="20"/>
        </w:rPr>
        <w:t xml:space="preserve"> при наличии котировок по публичному долгу контрагента либо компаний из группы контрагента:</w:t>
      </w:r>
    </w:p>
    <w:p w14:paraId="6486DD21" w14:textId="77777777" w:rsidR="002A3D95" w:rsidRPr="00BE536E" w:rsidRDefault="002A3D95" w:rsidP="00D05311">
      <w:pPr>
        <w:numPr>
          <w:ilvl w:val="2"/>
          <w:numId w:val="59"/>
        </w:numPr>
        <w:autoSpaceDE w:val="0"/>
        <w:autoSpaceDN w:val="0"/>
        <w:spacing w:after="0" w:line="360" w:lineRule="auto"/>
        <w:ind w:left="1276" w:hanging="567"/>
        <w:jc w:val="both"/>
        <w:rPr>
          <w:rFonts w:ascii="Verdana" w:hAnsi="Verdana"/>
          <w:sz w:val="20"/>
        </w:rPr>
      </w:pPr>
      <w:r w:rsidRPr="00BE536E">
        <w:rPr>
          <w:rFonts w:ascii="Verdana" w:hAnsi="Verdana"/>
          <w:sz w:val="20"/>
        </w:rPr>
        <w:t xml:space="preserve">В случае дефолта по публичному долгу контрагента либо компании из группы контрагента (если дефолт для контрагента возник из-за дефолта этой компании его группы, а сама задолженность обслуживается без нарушений условий </w:t>
      </w:r>
      <w:r w:rsidRPr="00BE536E">
        <w:rPr>
          <w:rFonts w:ascii="Verdana" w:hAnsi="Verdana"/>
          <w:sz w:val="20"/>
        </w:rPr>
        <w:lastRenderedPageBreak/>
        <w:t xml:space="preserve">договора) для оценки </w:t>
      </w:r>
      <w:r w:rsidRPr="00BE536E">
        <w:rPr>
          <w:rFonts w:ascii="Verdana" w:hAnsi="Verdana"/>
          <w:sz w:val="20"/>
          <w:lang w:val="en-US"/>
        </w:rPr>
        <w:t>LGD</w:t>
      </w:r>
      <w:r w:rsidRPr="00BE536E">
        <w:rPr>
          <w:rFonts w:ascii="Verdana" w:hAnsi="Verdana"/>
          <w:sz w:val="20"/>
        </w:rPr>
        <w:t xml:space="preserve"> используются (при наличии) котировки публичного долга. Отношение полной цены (цена закрытия (</w:t>
      </w:r>
      <w:r w:rsidRPr="00BE536E">
        <w:rPr>
          <w:rFonts w:ascii="Verdana" w:hAnsi="Verdana"/>
          <w:sz w:val="20"/>
          <w:lang w:val="en-US"/>
        </w:rPr>
        <w:t>legal</w:t>
      </w:r>
      <w:r w:rsidRPr="00BE536E">
        <w:rPr>
          <w:rFonts w:ascii="Verdana" w:hAnsi="Verdana"/>
          <w:sz w:val="20"/>
        </w:rPr>
        <w:t xml:space="preserve"> </w:t>
      </w:r>
      <w:r w:rsidRPr="00BE536E">
        <w:rPr>
          <w:rFonts w:ascii="Verdana" w:hAnsi="Verdana"/>
          <w:sz w:val="20"/>
          <w:lang w:val="en-US"/>
        </w:rPr>
        <w:t>close</w:t>
      </w:r>
      <w:r w:rsidRPr="00BE536E">
        <w:rPr>
          <w:rFonts w:ascii="Verdana" w:hAnsi="Verdana"/>
          <w:sz w:val="20"/>
        </w:rPr>
        <w:t xml:space="preserve">) + НКД) к номиналу может быть использовано как оценка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xml:space="preserve">. </w:t>
      </w:r>
    </w:p>
    <w:p w14:paraId="24DE2B3C" w14:textId="77777777" w:rsidR="002A3D95" w:rsidRPr="00BE536E" w:rsidRDefault="002A3D95" w:rsidP="00D05311">
      <w:pPr>
        <w:numPr>
          <w:ilvl w:val="2"/>
          <w:numId w:val="59"/>
        </w:numPr>
        <w:spacing w:after="0" w:line="360" w:lineRule="auto"/>
        <w:ind w:left="1276" w:hanging="567"/>
        <w:jc w:val="both"/>
        <w:rPr>
          <w:rFonts w:ascii="Verdana" w:hAnsi="Verdana"/>
          <w:sz w:val="20"/>
        </w:rPr>
      </w:pPr>
      <w:r w:rsidRPr="00BE536E">
        <w:rPr>
          <w:rFonts w:ascii="Verdana" w:hAnsi="Verdana"/>
          <w:sz w:val="20"/>
        </w:rPr>
        <w:t>В случае наличия котировок публичного долга контрагента, находящегося в дефолте, отношение полной цены (цена закрытия (</w:t>
      </w:r>
      <w:r w:rsidRPr="00BE536E">
        <w:rPr>
          <w:rFonts w:ascii="Verdana" w:hAnsi="Verdana"/>
          <w:sz w:val="20"/>
          <w:lang w:val="en-US"/>
        </w:rPr>
        <w:t>legal</w:t>
      </w:r>
      <w:r w:rsidRPr="00BE536E">
        <w:rPr>
          <w:rFonts w:ascii="Verdana" w:hAnsi="Verdana"/>
          <w:sz w:val="20"/>
        </w:rPr>
        <w:t xml:space="preserve"> </w:t>
      </w:r>
      <w:r w:rsidRPr="00BE536E">
        <w:rPr>
          <w:rFonts w:ascii="Verdana" w:hAnsi="Verdana"/>
          <w:sz w:val="20"/>
          <w:lang w:val="en-US"/>
        </w:rPr>
        <w:t>close</w:t>
      </w:r>
      <w:r w:rsidRPr="00BE536E">
        <w:rPr>
          <w:rFonts w:ascii="Verdana" w:hAnsi="Verdana"/>
          <w:sz w:val="20"/>
        </w:rPr>
        <w:t xml:space="preserve">) + НКД) к номиналу долгового обязательства может считаться оценкой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xml:space="preserve"> для контрагента, </w:t>
      </w:r>
      <w:r w:rsidRPr="00BE536E">
        <w:rPr>
          <w:rFonts w:ascii="Verdana" w:hAnsi="Verdana"/>
          <w:sz w:val="20"/>
          <w:lang w:val="en-US"/>
        </w:rPr>
        <w:t>LGD</w:t>
      </w:r>
      <w:r w:rsidRPr="00BE536E">
        <w:rPr>
          <w:rFonts w:ascii="Verdana" w:hAnsi="Verdana"/>
          <w:sz w:val="20"/>
        </w:rPr>
        <w:t xml:space="preserve"> в этом случае будет равен 1 –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Данный подход неприменим для случаев оценки субординированного и вечного долга, если только не имеется котировок самого оцениваемого обязательства.</w:t>
      </w:r>
    </w:p>
    <w:p w14:paraId="7A2D5404"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Для целей п. 5.13. используется цена закрытия + НКД, по данным следующих источников:</w:t>
      </w:r>
    </w:p>
    <w:p w14:paraId="37FD18A3"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Для облигаций российских эмитентов и облигаций иностранных эмитентов, в отношении которых не рассчитываются цены внебиржевого рынка (</w:t>
      </w:r>
      <w:r w:rsidRPr="00BE536E">
        <w:rPr>
          <w:rFonts w:ascii="Verdana" w:hAnsi="Verdana"/>
          <w:sz w:val="20"/>
          <w:lang w:val="en-US"/>
        </w:rPr>
        <w:t>BGN</w:t>
      </w:r>
      <w:r w:rsidRPr="00BE536E">
        <w:rPr>
          <w:rFonts w:ascii="Verdana" w:hAnsi="Verdana"/>
          <w:sz w:val="20"/>
        </w:rPr>
        <w:t>/</w:t>
      </w:r>
      <w:r w:rsidRPr="00BE536E">
        <w:rPr>
          <w:rFonts w:ascii="Verdana" w:hAnsi="Verdana"/>
          <w:sz w:val="20"/>
          <w:lang w:val="en-US"/>
        </w:rPr>
        <w:t>BVAL</w:t>
      </w:r>
      <w:r w:rsidRPr="00BE536E">
        <w:rPr>
          <w:rFonts w:ascii="Verdana" w:hAnsi="Verdana"/>
          <w:sz w:val="20"/>
        </w:rPr>
        <w:t>) – котировка и НКД по данным Московской биржи;</w:t>
      </w:r>
    </w:p>
    <w:p w14:paraId="03A6F05F"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 xml:space="preserve">Для иных облигаций – цена </w:t>
      </w:r>
      <w:r w:rsidRPr="00BE536E">
        <w:rPr>
          <w:rFonts w:ascii="Verdana" w:hAnsi="Verdana"/>
          <w:sz w:val="20"/>
          <w:lang w:val="en-US"/>
        </w:rPr>
        <w:t>BGN</w:t>
      </w:r>
      <w:r w:rsidRPr="00BE536E">
        <w:rPr>
          <w:rFonts w:ascii="Verdana" w:hAnsi="Verdana"/>
          <w:sz w:val="20"/>
        </w:rPr>
        <w:t xml:space="preserve"> (цена </w:t>
      </w:r>
      <w:r w:rsidRPr="00BE536E">
        <w:rPr>
          <w:rFonts w:ascii="Verdana" w:hAnsi="Verdana"/>
          <w:sz w:val="20"/>
          <w:lang w:val="en-US"/>
        </w:rPr>
        <w:t>BVAL</w:t>
      </w:r>
      <w:r w:rsidRPr="00BE536E">
        <w:rPr>
          <w:rFonts w:ascii="Verdana" w:hAnsi="Verdana"/>
          <w:sz w:val="20"/>
        </w:rPr>
        <w:t xml:space="preserve"> при отсутствии цены </w:t>
      </w:r>
      <w:r w:rsidRPr="00BE536E">
        <w:rPr>
          <w:rFonts w:ascii="Verdana" w:hAnsi="Verdana"/>
          <w:sz w:val="20"/>
          <w:lang w:val="en-US"/>
        </w:rPr>
        <w:t>BGN</w:t>
      </w:r>
      <w:r w:rsidRPr="00BE536E">
        <w:rPr>
          <w:rFonts w:ascii="Verdana" w:hAnsi="Verdana"/>
          <w:sz w:val="20"/>
        </w:rPr>
        <w:t xml:space="preserve">) + НКД по данным ИС </w:t>
      </w:r>
      <w:r w:rsidRPr="00BE536E">
        <w:rPr>
          <w:rFonts w:ascii="Verdana" w:hAnsi="Verdana"/>
          <w:sz w:val="20"/>
          <w:lang w:val="en-US"/>
        </w:rPr>
        <w:t>Bloomberg</w:t>
      </w:r>
      <w:r w:rsidRPr="00BE536E">
        <w:rPr>
          <w:rFonts w:ascii="Verdana" w:hAnsi="Verdana"/>
          <w:sz w:val="20"/>
        </w:rPr>
        <w:t>.</w:t>
      </w:r>
    </w:p>
    <w:p w14:paraId="3660271B"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 xml:space="preserve">Для целей настоящего раздела, значение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xml:space="preserve"> округляется до 2 знака после запятой в процентном выражении.</w:t>
      </w:r>
    </w:p>
    <w:p w14:paraId="21C9124C" w14:textId="77777777" w:rsidR="002A3D95" w:rsidRPr="00BE536E" w:rsidRDefault="002A3D95" w:rsidP="002A3D95">
      <w:pPr>
        <w:tabs>
          <w:tab w:val="left" w:pos="993"/>
        </w:tabs>
        <w:spacing w:line="360" w:lineRule="auto"/>
        <w:ind w:firstLine="992"/>
        <w:jc w:val="both"/>
        <w:rPr>
          <w:rFonts w:ascii="Verdana" w:hAnsi="Verdana"/>
        </w:rPr>
      </w:pPr>
      <w:r w:rsidRPr="00BE536E">
        <w:rPr>
          <w:rFonts w:ascii="Verdana" w:eastAsia="Batang" w:hAnsi="Verdana"/>
          <w:i/>
          <w:sz w:val="20"/>
        </w:rPr>
        <w:t>Информация о ценных бумагах, используемых в рамках настоящего раздела,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39CFBF22" w14:textId="77777777" w:rsidR="002A3D95" w:rsidRPr="00BE536E" w:rsidRDefault="002A3D95" w:rsidP="002A3D95">
      <w:pPr>
        <w:pStyle w:val="a0"/>
        <w:numPr>
          <w:ilvl w:val="0"/>
          <w:numId w:val="0"/>
        </w:numPr>
        <w:spacing w:before="0" w:after="0" w:line="360" w:lineRule="auto"/>
        <w:ind w:left="720"/>
        <w:jc w:val="both"/>
        <w:rPr>
          <w:rFonts w:ascii="Verdana" w:hAnsi="Verdana"/>
          <w:sz w:val="22"/>
        </w:rPr>
      </w:pPr>
    </w:p>
    <w:p w14:paraId="71E446CD" w14:textId="77777777" w:rsidR="002A3D95" w:rsidRPr="00BE536E" w:rsidRDefault="002A3D95" w:rsidP="002A3D95">
      <w:pPr>
        <w:pStyle w:val="a0"/>
        <w:numPr>
          <w:ilvl w:val="0"/>
          <w:numId w:val="0"/>
        </w:numPr>
        <w:spacing w:before="0" w:after="0" w:line="360" w:lineRule="auto"/>
        <w:ind w:left="720"/>
        <w:jc w:val="both"/>
        <w:rPr>
          <w:rFonts w:ascii="Verdana" w:hAnsi="Verdana"/>
          <w:sz w:val="20"/>
        </w:rPr>
      </w:pPr>
      <w:r w:rsidRPr="00BE536E">
        <w:rPr>
          <w:rFonts w:ascii="Verdana" w:hAnsi="Verdana"/>
          <w:sz w:val="20"/>
        </w:rPr>
        <w:t>Раздел 6.  Расчет COR.</w:t>
      </w:r>
    </w:p>
    <w:p w14:paraId="5D7D234D" w14:textId="77777777" w:rsidR="002A3D95" w:rsidRPr="00BE536E" w:rsidRDefault="002A3D95" w:rsidP="00567222">
      <w:pPr>
        <w:pStyle w:val="a0"/>
        <w:numPr>
          <w:ilvl w:val="0"/>
          <w:numId w:val="0"/>
        </w:numPr>
        <w:spacing w:before="0" w:after="0" w:line="360" w:lineRule="auto"/>
        <w:ind w:firstLine="349"/>
        <w:jc w:val="both"/>
        <w:rPr>
          <w:rFonts w:ascii="Verdana" w:hAnsi="Verdana"/>
          <w:sz w:val="20"/>
        </w:rPr>
      </w:pPr>
      <w:r w:rsidRPr="00BE536E">
        <w:rPr>
          <w:rFonts w:ascii="Verdana" w:hAnsi="Verdana"/>
          <w:b w:val="0"/>
          <w:sz w:val="20"/>
        </w:rPr>
        <w:t>При использовании для расчета справедливой стоимости с учетом кредитного риска данных банков или иных организаций Управляющая компания учитывает следующие положения</w:t>
      </w:r>
      <w:r w:rsidRPr="00BE536E">
        <w:rPr>
          <w:rFonts w:ascii="Verdana" w:hAnsi="Verdana"/>
          <w:sz w:val="20"/>
        </w:rPr>
        <w:t>:</w:t>
      </w:r>
    </w:p>
    <w:p w14:paraId="24C0327E" w14:textId="77777777" w:rsidR="002A3D95" w:rsidRPr="00BE536E" w:rsidRDefault="002A3D95" w:rsidP="00D05311">
      <w:pPr>
        <w:pStyle w:val="a0"/>
        <w:numPr>
          <w:ilvl w:val="1"/>
          <w:numId w:val="60"/>
        </w:numPr>
        <w:spacing w:before="0" w:after="0" w:line="360" w:lineRule="auto"/>
        <w:ind w:left="0" w:firstLine="709"/>
        <w:jc w:val="both"/>
        <w:rPr>
          <w:rFonts w:ascii="Verdana" w:hAnsi="Verdana"/>
          <w:b w:val="0"/>
          <w:sz w:val="20"/>
        </w:rPr>
      </w:pPr>
      <w:r w:rsidRPr="00BE536E">
        <w:rPr>
          <w:rFonts w:ascii="Verdana" w:hAnsi="Verdana"/>
          <w:b w:val="0"/>
          <w:sz w:val="20"/>
        </w:rPr>
        <w:t>Под необеспеченной задолженностью в целях настоящего Приложения понимается задолженность за исключением задолженности, обеспеченной залогом жилой недвижимости (ипотека).</w:t>
      </w:r>
    </w:p>
    <w:p w14:paraId="7C5DC65D" w14:textId="77777777" w:rsidR="002A3D95" w:rsidRPr="00BE536E" w:rsidRDefault="002A3D95" w:rsidP="00D05311">
      <w:pPr>
        <w:pStyle w:val="a0"/>
        <w:numPr>
          <w:ilvl w:val="1"/>
          <w:numId w:val="60"/>
        </w:numPr>
        <w:spacing w:before="0" w:after="0" w:line="360" w:lineRule="auto"/>
        <w:ind w:left="0" w:firstLine="709"/>
        <w:jc w:val="both"/>
        <w:rPr>
          <w:rFonts w:ascii="Verdana" w:hAnsi="Verdana"/>
          <w:b w:val="0"/>
          <w:sz w:val="20"/>
        </w:rPr>
      </w:pPr>
      <w:r w:rsidRPr="00BE536E">
        <w:rPr>
          <w:rFonts w:ascii="Verdana" w:hAnsi="Verdana"/>
          <w:b w:val="0"/>
          <w:bCs w:val="0"/>
          <w:sz w:val="20"/>
        </w:rPr>
        <w:t xml:space="preserve">При использовании данных об обесцененной задолженности Управляющая компания учитывает характер обесценения имеющейся задолженности, в том числе срок </w:t>
      </w:r>
      <w:r w:rsidRPr="00BE536E">
        <w:rPr>
          <w:rFonts w:ascii="Verdana" w:hAnsi="Verdana"/>
          <w:b w:val="0"/>
          <w:bCs w:val="0"/>
          <w:sz w:val="20"/>
        </w:rPr>
        <w:lastRenderedPageBreak/>
        <w:t>просрочки.</w:t>
      </w:r>
    </w:p>
    <w:p w14:paraId="348FDFA3" w14:textId="77777777" w:rsidR="002A3D95" w:rsidRPr="00BE536E" w:rsidRDefault="002A3D95" w:rsidP="002A3D95">
      <w:pPr>
        <w:spacing w:line="360" w:lineRule="auto"/>
        <w:ind w:firstLine="709"/>
        <w:rPr>
          <w:rFonts w:ascii="Verdana" w:hAnsi="Verdana"/>
          <w:b/>
          <w:bCs/>
          <w:sz w:val="20"/>
        </w:rPr>
      </w:pPr>
      <w:r w:rsidRPr="00BE536E">
        <w:rPr>
          <w:rFonts w:ascii="Verdana" w:hAnsi="Verdana"/>
          <w:b/>
          <w:bCs/>
          <w:sz w:val="20"/>
        </w:rPr>
        <w:t xml:space="preserve">Показатели </w:t>
      </w:r>
      <w:r w:rsidRPr="00BE536E">
        <w:rPr>
          <w:rFonts w:ascii="Verdana" w:hAnsi="Verdana"/>
          <w:b/>
          <w:bCs/>
          <w:sz w:val="20"/>
          <w:lang w:val="en-US"/>
        </w:rPr>
        <w:t>Cost</w:t>
      </w:r>
      <w:r w:rsidRPr="00BE536E">
        <w:rPr>
          <w:rFonts w:ascii="Verdana" w:hAnsi="Verdana"/>
          <w:b/>
          <w:bCs/>
          <w:sz w:val="20"/>
        </w:rPr>
        <w:t xml:space="preserve"> </w:t>
      </w:r>
      <w:r w:rsidRPr="00BE536E">
        <w:rPr>
          <w:rFonts w:ascii="Verdana" w:hAnsi="Verdana"/>
          <w:b/>
          <w:bCs/>
          <w:sz w:val="20"/>
          <w:lang w:val="en-US"/>
        </w:rPr>
        <w:t>of</w:t>
      </w:r>
      <w:r w:rsidRPr="00BE536E">
        <w:rPr>
          <w:rFonts w:ascii="Verdana" w:hAnsi="Verdana"/>
          <w:b/>
          <w:bCs/>
          <w:sz w:val="20"/>
        </w:rPr>
        <w:t xml:space="preserve"> </w:t>
      </w:r>
      <w:r w:rsidRPr="00BE536E">
        <w:rPr>
          <w:rFonts w:ascii="Verdana" w:hAnsi="Verdana"/>
          <w:b/>
          <w:bCs/>
          <w:sz w:val="20"/>
          <w:lang w:val="en-US"/>
        </w:rPr>
        <w:t>Risk</w:t>
      </w:r>
      <w:r w:rsidRPr="00BE536E">
        <w:rPr>
          <w:rFonts w:ascii="Verdana" w:hAnsi="Verdana"/>
          <w:b/>
          <w:bCs/>
          <w:sz w:val="20"/>
        </w:rPr>
        <w:t xml:space="preserve"> (</w:t>
      </w:r>
      <w:r w:rsidRPr="00BE536E">
        <w:rPr>
          <w:rFonts w:ascii="Verdana" w:hAnsi="Verdana"/>
          <w:b/>
          <w:bCs/>
          <w:sz w:val="20"/>
          <w:lang w:val="en-US"/>
        </w:rPr>
        <w:t>CoR</w:t>
      </w:r>
      <w:r w:rsidRPr="00BE536E">
        <w:rPr>
          <w:rFonts w:ascii="Verdana" w:hAnsi="Verdana"/>
          <w:b/>
          <w:bCs/>
          <w:sz w:val="20"/>
        </w:rPr>
        <w:t>), используемые для расчета справедливой стоимости задолженности физических лиц</w:t>
      </w:r>
    </w:p>
    <w:p w14:paraId="6BA18D89" w14:textId="77777777" w:rsidR="007A390F" w:rsidRPr="007A390F" w:rsidRDefault="007A390F" w:rsidP="007A390F">
      <w:pPr>
        <w:pStyle w:val="ac"/>
        <w:spacing w:line="360" w:lineRule="auto"/>
        <w:ind w:left="0" w:firstLine="709"/>
        <w:jc w:val="both"/>
        <w:rPr>
          <w:rFonts w:ascii="Verdana" w:hAnsi="Verdana"/>
          <w:sz w:val="20"/>
        </w:rPr>
      </w:pPr>
      <w:r w:rsidRPr="007A390F">
        <w:rPr>
          <w:rFonts w:ascii="Verdana" w:hAnsi="Verdana"/>
          <w:sz w:val="20"/>
        </w:rPr>
        <w:t xml:space="preserve">Для целей расчета Cost of Risk в отношении необеспеченных прав требования к физическим лицам используется отношение резерва под обесценение усредненного портфеля (усреднение производится по следующим портфелям: потребительские и прочие ссуды физическим лицам, кредитные карты и овердрафтное кредитование физических лиц) кредитов, к валовой балансовой стоимости таких кредитов, по данным отчетности ПАО «Сбербанк» за  2022 год (12 месяцев). </w:t>
      </w:r>
    </w:p>
    <w:p w14:paraId="2FBFAD91" w14:textId="77777777" w:rsidR="007A390F" w:rsidRPr="007A390F" w:rsidRDefault="007A390F" w:rsidP="007A390F">
      <w:pPr>
        <w:pStyle w:val="ac"/>
        <w:spacing w:line="360" w:lineRule="auto"/>
        <w:ind w:left="0" w:firstLine="709"/>
        <w:jc w:val="both"/>
        <w:rPr>
          <w:rFonts w:ascii="Verdana" w:hAnsi="Verdana"/>
          <w:sz w:val="20"/>
        </w:rPr>
      </w:pPr>
      <w:r w:rsidRPr="007A390F">
        <w:rPr>
          <w:rFonts w:ascii="Verdana" w:hAnsi="Verdana"/>
          <w:sz w:val="20"/>
        </w:rPr>
        <w:t>Для оценки стандартных активов используется значение CoR для стадии 1, для оценки кредитно-обесцененных активов используется значение CoR для стадии 2.</w:t>
      </w:r>
    </w:p>
    <w:tbl>
      <w:tblPr>
        <w:tblW w:w="9717" w:type="dxa"/>
        <w:tblInd w:w="93" w:type="dxa"/>
        <w:tblLook w:val="04A0" w:firstRow="1" w:lastRow="0" w:firstColumn="1" w:lastColumn="0" w:noHBand="0" w:noVBand="1"/>
      </w:tblPr>
      <w:tblGrid>
        <w:gridCol w:w="6638"/>
        <w:gridCol w:w="1416"/>
        <w:gridCol w:w="1663"/>
      </w:tblGrid>
      <w:tr w:rsidR="007A390F" w:rsidRPr="007A390F" w14:paraId="2A64C3B3" w14:textId="77777777" w:rsidTr="00114D9D">
        <w:trPr>
          <w:trHeight w:val="315"/>
        </w:trPr>
        <w:tc>
          <w:tcPr>
            <w:tcW w:w="9717" w:type="dxa"/>
            <w:gridSpan w:val="3"/>
            <w:tcBorders>
              <w:top w:val="single" w:sz="8" w:space="0" w:color="auto"/>
              <w:left w:val="single" w:sz="8" w:space="0" w:color="auto"/>
              <w:bottom w:val="single" w:sz="8" w:space="0" w:color="auto"/>
              <w:right w:val="single" w:sz="8" w:space="0" w:color="000000"/>
            </w:tcBorders>
            <w:noWrap/>
            <w:vAlign w:val="center"/>
            <w:hideMark/>
          </w:tcPr>
          <w:p w14:paraId="6772639F"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Необеспеченная задолженность физических лиц</w:t>
            </w:r>
          </w:p>
        </w:tc>
      </w:tr>
      <w:tr w:rsidR="007A390F" w:rsidRPr="007A390F" w14:paraId="49B5C88F"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76B463F2" w14:textId="77777777" w:rsidR="007A390F" w:rsidRPr="007A390F" w:rsidRDefault="007A390F" w:rsidP="00114D9D">
            <w:pPr>
              <w:spacing w:after="0" w:line="240" w:lineRule="auto"/>
              <w:rPr>
                <w:rFonts w:ascii="Verdana" w:hAnsi="Verdana"/>
                <w:sz w:val="20"/>
              </w:rPr>
            </w:pPr>
            <w:r w:rsidRPr="007A390F">
              <w:rPr>
                <w:rFonts w:ascii="Verdana" w:hAnsi="Verdana"/>
                <w:sz w:val="20"/>
              </w:rPr>
              <w:t>Стадия кредитного портфеля</w:t>
            </w:r>
          </w:p>
        </w:tc>
        <w:tc>
          <w:tcPr>
            <w:tcW w:w="1416" w:type="dxa"/>
            <w:tcBorders>
              <w:top w:val="nil"/>
              <w:left w:val="nil"/>
              <w:bottom w:val="single" w:sz="8" w:space="0" w:color="auto"/>
              <w:right w:val="single" w:sz="8" w:space="0" w:color="auto"/>
            </w:tcBorders>
            <w:noWrap/>
            <w:vAlign w:val="center"/>
            <w:hideMark/>
          </w:tcPr>
          <w:p w14:paraId="016B246B"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w:t>
            </w:r>
          </w:p>
        </w:tc>
        <w:tc>
          <w:tcPr>
            <w:tcW w:w="1663" w:type="dxa"/>
            <w:tcBorders>
              <w:top w:val="nil"/>
              <w:left w:val="nil"/>
              <w:bottom w:val="single" w:sz="8" w:space="0" w:color="auto"/>
              <w:right w:val="single" w:sz="8" w:space="0" w:color="auto"/>
            </w:tcBorders>
            <w:noWrap/>
            <w:vAlign w:val="center"/>
            <w:hideMark/>
          </w:tcPr>
          <w:p w14:paraId="0660C6C3"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w:t>
            </w:r>
          </w:p>
        </w:tc>
      </w:tr>
      <w:tr w:rsidR="007A390F" w:rsidRPr="007A390F" w14:paraId="54DE1294"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5DDBF13E" w14:textId="77777777" w:rsidR="007A390F" w:rsidRPr="007A390F" w:rsidRDefault="007A390F" w:rsidP="00114D9D">
            <w:pPr>
              <w:spacing w:after="0" w:line="240" w:lineRule="auto"/>
              <w:rPr>
                <w:rFonts w:ascii="Verdana" w:hAnsi="Verdana"/>
                <w:sz w:val="20"/>
              </w:rPr>
            </w:pPr>
            <w:r w:rsidRPr="007A390F">
              <w:rPr>
                <w:rFonts w:ascii="Verdana" w:hAnsi="Verdana"/>
                <w:sz w:val="20"/>
              </w:rPr>
              <w:t>Валовая стоимость кредитов, млн. руб.</w:t>
            </w:r>
          </w:p>
        </w:tc>
        <w:tc>
          <w:tcPr>
            <w:tcW w:w="1416" w:type="dxa"/>
            <w:tcBorders>
              <w:top w:val="nil"/>
              <w:left w:val="nil"/>
              <w:bottom w:val="single" w:sz="8" w:space="0" w:color="auto"/>
              <w:right w:val="single" w:sz="8" w:space="0" w:color="auto"/>
            </w:tcBorders>
            <w:noWrap/>
            <w:hideMark/>
          </w:tcPr>
          <w:p w14:paraId="59C2C990"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3 995,80</w:t>
            </w:r>
          </w:p>
        </w:tc>
        <w:tc>
          <w:tcPr>
            <w:tcW w:w="1663" w:type="dxa"/>
            <w:tcBorders>
              <w:top w:val="nil"/>
              <w:left w:val="nil"/>
              <w:bottom w:val="single" w:sz="8" w:space="0" w:color="auto"/>
              <w:right w:val="single" w:sz="8" w:space="0" w:color="auto"/>
            </w:tcBorders>
            <w:noWrap/>
            <w:hideMark/>
          </w:tcPr>
          <w:p w14:paraId="20BB84B0"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223,20</w:t>
            </w:r>
          </w:p>
        </w:tc>
      </w:tr>
      <w:tr w:rsidR="007A390F" w:rsidRPr="007A390F" w14:paraId="2C715C38"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667B8BE8" w14:textId="77777777" w:rsidR="007A390F" w:rsidRPr="007A390F" w:rsidRDefault="007A390F" w:rsidP="00114D9D">
            <w:pPr>
              <w:spacing w:after="0" w:line="240" w:lineRule="auto"/>
              <w:rPr>
                <w:rFonts w:ascii="Verdana" w:hAnsi="Verdana"/>
                <w:sz w:val="20"/>
              </w:rPr>
            </w:pPr>
            <w:r w:rsidRPr="007A390F">
              <w:rPr>
                <w:rFonts w:ascii="Verdana" w:hAnsi="Verdana"/>
                <w:sz w:val="20"/>
              </w:rPr>
              <w:t>Резерв под обесценение кредитов, млн. руб.</w:t>
            </w:r>
          </w:p>
        </w:tc>
        <w:tc>
          <w:tcPr>
            <w:tcW w:w="1416" w:type="dxa"/>
            <w:tcBorders>
              <w:top w:val="nil"/>
              <w:left w:val="nil"/>
              <w:bottom w:val="single" w:sz="8" w:space="0" w:color="auto"/>
              <w:right w:val="single" w:sz="8" w:space="0" w:color="auto"/>
            </w:tcBorders>
            <w:noWrap/>
            <w:hideMark/>
          </w:tcPr>
          <w:p w14:paraId="2CB342D0"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109,30</w:t>
            </w:r>
          </w:p>
        </w:tc>
        <w:tc>
          <w:tcPr>
            <w:tcW w:w="1663" w:type="dxa"/>
            <w:tcBorders>
              <w:top w:val="nil"/>
              <w:left w:val="nil"/>
              <w:bottom w:val="single" w:sz="8" w:space="0" w:color="auto"/>
              <w:right w:val="single" w:sz="8" w:space="0" w:color="auto"/>
            </w:tcBorders>
            <w:noWrap/>
            <w:hideMark/>
          </w:tcPr>
          <w:p w14:paraId="7416DEE1"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57,80</w:t>
            </w:r>
          </w:p>
        </w:tc>
      </w:tr>
      <w:tr w:rsidR="007A390F" w:rsidRPr="007A390F" w14:paraId="3BDA9DF7"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13EB9B33" w14:textId="77777777" w:rsidR="007A390F" w:rsidRPr="007A390F" w:rsidRDefault="007A390F" w:rsidP="00114D9D">
            <w:pPr>
              <w:spacing w:after="0" w:line="240" w:lineRule="auto"/>
              <w:rPr>
                <w:rFonts w:ascii="Verdana" w:hAnsi="Verdana"/>
                <w:sz w:val="20"/>
              </w:rPr>
            </w:pPr>
            <w:r w:rsidRPr="007A390F">
              <w:rPr>
                <w:rFonts w:ascii="Verdana" w:hAnsi="Verdana"/>
                <w:sz w:val="20"/>
              </w:rPr>
              <w:t>CoR</w:t>
            </w:r>
          </w:p>
        </w:tc>
        <w:tc>
          <w:tcPr>
            <w:tcW w:w="1416" w:type="dxa"/>
            <w:tcBorders>
              <w:top w:val="nil"/>
              <w:left w:val="nil"/>
              <w:bottom w:val="single" w:sz="8" w:space="0" w:color="auto"/>
              <w:right w:val="single" w:sz="8" w:space="0" w:color="auto"/>
            </w:tcBorders>
            <w:noWrap/>
            <w:hideMark/>
          </w:tcPr>
          <w:p w14:paraId="50ADB89C"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2,74</w:t>
            </w:r>
          </w:p>
        </w:tc>
        <w:tc>
          <w:tcPr>
            <w:tcW w:w="1663" w:type="dxa"/>
            <w:tcBorders>
              <w:top w:val="nil"/>
              <w:left w:val="nil"/>
              <w:bottom w:val="single" w:sz="8" w:space="0" w:color="auto"/>
              <w:right w:val="single" w:sz="8" w:space="0" w:color="auto"/>
            </w:tcBorders>
            <w:noWrap/>
            <w:hideMark/>
          </w:tcPr>
          <w:p w14:paraId="339024A5"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25,90</w:t>
            </w:r>
          </w:p>
        </w:tc>
      </w:tr>
    </w:tbl>
    <w:p w14:paraId="4CEAE645" w14:textId="77777777" w:rsidR="007A390F" w:rsidRPr="007A390F" w:rsidRDefault="007A390F" w:rsidP="007A390F">
      <w:pPr>
        <w:pStyle w:val="ac"/>
        <w:spacing w:line="360" w:lineRule="auto"/>
        <w:ind w:left="0" w:firstLine="709"/>
        <w:jc w:val="both"/>
        <w:rPr>
          <w:rFonts w:ascii="Verdana" w:hAnsi="Verdana"/>
          <w:sz w:val="20"/>
        </w:rPr>
      </w:pPr>
      <w:r w:rsidRPr="007A390F">
        <w:rPr>
          <w:rFonts w:ascii="Verdana" w:hAnsi="Verdana"/>
          <w:sz w:val="20"/>
        </w:rPr>
        <w:t xml:space="preserve">Для целей расчета Cost of Risk в отношении прав требования к физическим лицам, обеспеченных не менее чем на 80% от номинальной стоимости задолженности залогом жилой недвижимости, используется отношение резерва под обесценение портфеля ипотечных кредитов, к валовой балансовой стоимости таких кредитов, по данным отчетности ПАО «Сбербанк» за 2022 год (12 месяцев). </w:t>
      </w:r>
    </w:p>
    <w:tbl>
      <w:tblPr>
        <w:tblW w:w="9371" w:type="dxa"/>
        <w:jc w:val="center"/>
        <w:tblLook w:val="04A0" w:firstRow="1" w:lastRow="0" w:firstColumn="1" w:lastColumn="0" w:noHBand="0" w:noVBand="1"/>
      </w:tblPr>
      <w:tblGrid>
        <w:gridCol w:w="6819"/>
        <w:gridCol w:w="1276"/>
        <w:gridCol w:w="1276"/>
      </w:tblGrid>
      <w:tr w:rsidR="007A390F" w:rsidRPr="007A390F" w14:paraId="4E51B7F2" w14:textId="77777777" w:rsidTr="00114D9D">
        <w:trPr>
          <w:trHeight w:val="315"/>
          <w:jc w:val="center"/>
        </w:trPr>
        <w:tc>
          <w:tcPr>
            <w:tcW w:w="9371" w:type="dxa"/>
            <w:gridSpan w:val="3"/>
            <w:tcBorders>
              <w:top w:val="single" w:sz="8" w:space="0" w:color="auto"/>
              <w:left w:val="single" w:sz="8" w:space="0" w:color="auto"/>
              <w:bottom w:val="single" w:sz="8" w:space="0" w:color="auto"/>
              <w:right w:val="single" w:sz="8" w:space="0" w:color="000000"/>
            </w:tcBorders>
            <w:noWrap/>
            <w:vAlign w:val="center"/>
            <w:hideMark/>
          </w:tcPr>
          <w:p w14:paraId="6A90C13A"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Обеспеченная задолженность физических лиц</w:t>
            </w:r>
          </w:p>
        </w:tc>
      </w:tr>
      <w:tr w:rsidR="007A390F" w:rsidRPr="007A390F" w14:paraId="3FA12BE3"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300A8BA4" w14:textId="77777777" w:rsidR="007A390F" w:rsidRPr="007A390F" w:rsidRDefault="007A390F" w:rsidP="00114D9D">
            <w:pPr>
              <w:spacing w:after="0" w:line="240" w:lineRule="auto"/>
              <w:rPr>
                <w:rFonts w:ascii="Verdana" w:hAnsi="Verdana"/>
                <w:sz w:val="20"/>
              </w:rPr>
            </w:pPr>
            <w:r w:rsidRPr="007A390F">
              <w:rPr>
                <w:rFonts w:ascii="Verdana" w:hAnsi="Verdana"/>
                <w:sz w:val="20"/>
              </w:rPr>
              <w:t>Стадия кредитного портфеля</w:t>
            </w:r>
          </w:p>
        </w:tc>
        <w:tc>
          <w:tcPr>
            <w:tcW w:w="1276" w:type="dxa"/>
            <w:tcBorders>
              <w:top w:val="nil"/>
              <w:left w:val="nil"/>
              <w:bottom w:val="single" w:sz="8" w:space="0" w:color="auto"/>
              <w:right w:val="single" w:sz="8" w:space="0" w:color="auto"/>
            </w:tcBorders>
            <w:noWrap/>
            <w:vAlign w:val="center"/>
            <w:hideMark/>
          </w:tcPr>
          <w:p w14:paraId="1F9BEC6B"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w:t>
            </w:r>
          </w:p>
        </w:tc>
        <w:tc>
          <w:tcPr>
            <w:tcW w:w="1276" w:type="dxa"/>
            <w:tcBorders>
              <w:top w:val="nil"/>
              <w:left w:val="nil"/>
              <w:bottom w:val="single" w:sz="8" w:space="0" w:color="auto"/>
              <w:right w:val="single" w:sz="8" w:space="0" w:color="auto"/>
            </w:tcBorders>
            <w:noWrap/>
            <w:vAlign w:val="center"/>
            <w:hideMark/>
          </w:tcPr>
          <w:p w14:paraId="3BC9968B"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w:t>
            </w:r>
          </w:p>
        </w:tc>
      </w:tr>
      <w:tr w:rsidR="007A390F" w:rsidRPr="007A390F" w14:paraId="09BB0ED9"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251D71B1" w14:textId="77777777" w:rsidR="007A390F" w:rsidRPr="007A390F" w:rsidRDefault="007A390F" w:rsidP="00114D9D">
            <w:pPr>
              <w:spacing w:after="0" w:line="240" w:lineRule="auto"/>
              <w:rPr>
                <w:rFonts w:ascii="Verdana" w:hAnsi="Verdana"/>
                <w:sz w:val="20"/>
              </w:rPr>
            </w:pPr>
            <w:r w:rsidRPr="007A390F">
              <w:rPr>
                <w:rFonts w:ascii="Verdana" w:hAnsi="Verdana"/>
                <w:sz w:val="20"/>
              </w:rPr>
              <w:t>Валовая стоимость кредитов, млн. руб.</w:t>
            </w:r>
          </w:p>
        </w:tc>
        <w:tc>
          <w:tcPr>
            <w:tcW w:w="1276" w:type="dxa"/>
            <w:tcBorders>
              <w:top w:val="nil"/>
              <w:left w:val="nil"/>
              <w:bottom w:val="single" w:sz="8" w:space="0" w:color="auto"/>
              <w:right w:val="single" w:sz="8" w:space="0" w:color="auto"/>
            </w:tcBorders>
            <w:noWrap/>
            <w:hideMark/>
          </w:tcPr>
          <w:p w14:paraId="759F5F0D"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7 144,30</w:t>
            </w:r>
          </w:p>
        </w:tc>
        <w:tc>
          <w:tcPr>
            <w:tcW w:w="1276" w:type="dxa"/>
            <w:tcBorders>
              <w:top w:val="nil"/>
              <w:left w:val="nil"/>
              <w:bottom w:val="single" w:sz="8" w:space="0" w:color="auto"/>
              <w:right w:val="single" w:sz="8" w:space="0" w:color="auto"/>
            </w:tcBorders>
            <w:noWrap/>
            <w:hideMark/>
          </w:tcPr>
          <w:p w14:paraId="7E0E680F"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348,00</w:t>
            </w:r>
          </w:p>
        </w:tc>
      </w:tr>
      <w:tr w:rsidR="007A390F" w:rsidRPr="007A390F" w14:paraId="4216D2AA"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683556FF" w14:textId="77777777" w:rsidR="007A390F" w:rsidRPr="007A390F" w:rsidRDefault="007A390F" w:rsidP="00114D9D">
            <w:pPr>
              <w:spacing w:after="0" w:line="240" w:lineRule="auto"/>
              <w:rPr>
                <w:rFonts w:ascii="Verdana" w:hAnsi="Verdana"/>
                <w:sz w:val="20"/>
              </w:rPr>
            </w:pPr>
            <w:r w:rsidRPr="007A390F">
              <w:rPr>
                <w:rFonts w:ascii="Verdana" w:hAnsi="Verdana"/>
                <w:sz w:val="20"/>
              </w:rPr>
              <w:t>Резерв под обесценение кредитов, млн. руб.</w:t>
            </w:r>
          </w:p>
        </w:tc>
        <w:tc>
          <w:tcPr>
            <w:tcW w:w="1276" w:type="dxa"/>
            <w:tcBorders>
              <w:top w:val="nil"/>
              <w:left w:val="nil"/>
              <w:bottom w:val="single" w:sz="8" w:space="0" w:color="auto"/>
              <w:right w:val="single" w:sz="8" w:space="0" w:color="auto"/>
            </w:tcBorders>
            <w:noWrap/>
            <w:hideMark/>
          </w:tcPr>
          <w:p w14:paraId="61576F5E"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8,70</w:t>
            </w:r>
          </w:p>
        </w:tc>
        <w:tc>
          <w:tcPr>
            <w:tcW w:w="1276" w:type="dxa"/>
            <w:tcBorders>
              <w:top w:val="nil"/>
              <w:left w:val="nil"/>
              <w:bottom w:val="single" w:sz="8" w:space="0" w:color="auto"/>
              <w:right w:val="single" w:sz="8" w:space="0" w:color="auto"/>
            </w:tcBorders>
            <w:noWrap/>
            <w:hideMark/>
          </w:tcPr>
          <w:p w14:paraId="72585737"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18,90</w:t>
            </w:r>
          </w:p>
        </w:tc>
      </w:tr>
      <w:tr w:rsidR="007A390F" w:rsidRPr="007A390F" w14:paraId="2B146178"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009C9D00" w14:textId="77777777" w:rsidR="007A390F" w:rsidRPr="007A390F" w:rsidRDefault="007A390F" w:rsidP="00114D9D">
            <w:pPr>
              <w:spacing w:after="0" w:line="240" w:lineRule="auto"/>
              <w:rPr>
                <w:rFonts w:ascii="Verdana" w:hAnsi="Verdana"/>
                <w:sz w:val="20"/>
              </w:rPr>
            </w:pPr>
            <w:r w:rsidRPr="007A390F">
              <w:rPr>
                <w:rFonts w:ascii="Verdana" w:hAnsi="Verdana"/>
                <w:sz w:val="20"/>
              </w:rPr>
              <w:t>CoR</w:t>
            </w:r>
          </w:p>
        </w:tc>
        <w:tc>
          <w:tcPr>
            <w:tcW w:w="1276" w:type="dxa"/>
            <w:tcBorders>
              <w:top w:val="nil"/>
              <w:left w:val="nil"/>
              <w:bottom w:val="single" w:sz="8" w:space="0" w:color="auto"/>
              <w:right w:val="single" w:sz="8" w:space="0" w:color="auto"/>
            </w:tcBorders>
            <w:noWrap/>
            <w:hideMark/>
          </w:tcPr>
          <w:p w14:paraId="133FC94B"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0,12</w:t>
            </w:r>
          </w:p>
        </w:tc>
        <w:tc>
          <w:tcPr>
            <w:tcW w:w="1276" w:type="dxa"/>
            <w:tcBorders>
              <w:top w:val="nil"/>
              <w:left w:val="nil"/>
              <w:bottom w:val="single" w:sz="8" w:space="0" w:color="auto"/>
              <w:right w:val="single" w:sz="8" w:space="0" w:color="auto"/>
            </w:tcBorders>
            <w:noWrap/>
            <w:hideMark/>
          </w:tcPr>
          <w:p w14:paraId="1119EFE2"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5,43</w:t>
            </w:r>
          </w:p>
        </w:tc>
      </w:tr>
    </w:tbl>
    <w:p w14:paraId="47EC08CE" w14:textId="77777777" w:rsidR="007A390F" w:rsidRPr="007A390F" w:rsidRDefault="007A390F" w:rsidP="007A390F">
      <w:pPr>
        <w:pStyle w:val="ac"/>
        <w:spacing w:line="360" w:lineRule="auto"/>
        <w:ind w:left="0" w:firstLine="709"/>
        <w:rPr>
          <w:rFonts w:ascii="Verdana" w:hAnsi="Verdana"/>
          <w:sz w:val="20"/>
        </w:rPr>
      </w:pPr>
    </w:p>
    <w:p w14:paraId="5DCBCEBD" w14:textId="451A9E9D" w:rsidR="002A3D95" w:rsidRPr="00BE536E" w:rsidRDefault="007A390F" w:rsidP="007A390F">
      <w:pPr>
        <w:spacing w:line="360" w:lineRule="auto"/>
        <w:ind w:firstLine="709"/>
        <w:jc w:val="both"/>
        <w:rPr>
          <w:rFonts w:ascii="Verdana" w:hAnsi="Verdana"/>
          <w:sz w:val="20"/>
        </w:rPr>
      </w:pPr>
      <w:r w:rsidRPr="007A390F">
        <w:rPr>
          <w:rFonts w:ascii="Verdana" w:hAnsi="Verdana"/>
          <w:sz w:val="20"/>
        </w:rPr>
        <w:t>Если права требования к физическому лицу обеспечены иным видом имущества (в том числе, поручительством, гарантией, опционным соглашением, страховкой), то для оценки с учетом обеспечения используется CoR, рассчитанный по необеспеченным портфелям кредитов по данным отчетности банков, составленной в соответствии с МСФО, при этом величина CoR приравнивается к PD. LGD с учетом обеспечения определяется соответствии с Разделом 5 настоящего Приложения</w:t>
      </w:r>
      <w:r w:rsidR="002A3D95" w:rsidRPr="00BE536E">
        <w:rPr>
          <w:rFonts w:ascii="Verdana" w:hAnsi="Verdana"/>
          <w:sz w:val="20"/>
        </w:rPr>
        <w:t xml:space="preserve">. </w:t>
      </w:r>
    </w:p>
    <w:p w14:paraId="6EC715AE" w14:textId="77777777" w:rsidR="00031F3C" w:rsidRPr="00BE536E" w:rsidRDefault="00031F3C" w:rsidP="00567222">
      <w:pPr>
        <w:pStyle w:val="a0"/>
        <w:numPr>
          <w:ilvl w:val="0"/>
          <w:numId w:val="0"/>
        </w:numPr>
        <w:spacing w:before="0" w:after="0" w:line="360" w:lineRule="auto"/>
        <w:jc w:val="both"/>
        <w:rPr>
          <w:szCs w:val="24"/>
        </w:rPr>
      </w:pPr>
      <w:r w:rsidRPr="00BE536E">
        <w:rPr>
          <w:szCs w:val="24"/>
        </w:rPr>
        <w:lastRenderedPageBreak/>
        <w:t>Раздел 7. Метод учета кредитных рисков путем оценки справедливой стоимости по отчету оценщика по состоянию на дату не ранее возникновения события,  ведущего к обесценению.</w:t>
      </w:r>
    </w:p>
    <w:p w14:paraId="66979910" w14:textId="77777777" w:rsidR="00031F3C" w:rsidRPr="00BE536E" w:rsidRDefault="00031F3C" w:rsidP="00D05311">
      <w:pPr>
        <w:pStyle w:val="af1"/>
        <w:numPr>
          <w:ilvl w:val="1"/>
          <w:numId w:val="65"/>
        </w:numPr>
        <w:spacing w:line="360" w:lineRule="auto"/>
        <w:jc w:val="both"/>
      </w:pPr>
      <w:r w:rsidRPr="00BE536E">
        <w:t>Применение отчета оценщика для целей определения справедливой стоимости с учетом обесценения возможно для всех активов, указанных в Приложении 1 к настоящим правилам определения СЧА.</w:t>
      </w:r>
    </w:p>
    <w:p w14:paraId="60D7E788" w14:textId="77777777" w:rsidR="00031F3C" w:rsidRPr="00BE536E" w:rsidRDefault="00031F3C" w:rsidP="00D05311">
      <w:pPr>
        <w:pStyle w:val="af1"/>
        <w:numPr>
          <w:ilvl w:val="1"/>
          <w:numId w:val="65"/>
        </w:numPr>
        <w:spacing w:line="360" w:lineRule="auto"/>
        <w:jc w:val="both"/>
      </w:pPr>
      <w:r w:rsidRPr="00BE536E">
        <w:t xml:space="preserve">В случае, если в период применения отчета оценщика для определения справедливой стоимости возникает (выявляется) событие, ведущее к обесценению, то необходимо осуществить внеплановую оценку актива оценщиком в течение 10 дней с даты выявления признаков обесценения. </w:t>
      </w:r>
    </w:p>
    <w:p w14:paraId="55DA3BC0" w14:textId="77777777" w:rsidR="00031F3C" w:rsidRDefault="00031F3C" w:rsidP="00031F3C">
      <w:pPr>
        <w:spacing w:line="360" w:lineRule="auto"/>
        <w:jc w:val="both"/>
      </w:pPr>
      <w:r w:rsidRPr="00BE536E">
        <w:t>Дата, по состоянию на которую определяется новая оценка, не должна быть ранее даты возникновения события, ведущего к обесценению. С даты наступления события, ведущего к обесценению и до даты применения нового отчета оценщика, Управляющая компания должна скорректировать последнюю известную справедливую стоимость, определенную по отчету оценщика, составленному до возникновения такого события, с применением методов корректировки справедливой стоимости, указанных в настоящем приложении.</w:t>
      </w:r>
    </w:p>
    <w:p w14:paraId="29B022CD" w14:textId="77777777" w:rsidR="00A34C3A" w:rsidRDefault="00A34C3A" w:rsidP="00031F3C">
      <w:pPr>
        <w:spacing w:line="360" w:lineRule="auto"/>
        <w:jc w:val="both"/>
      </w:pPr>
    </w:p>
    <w:p w14:paraId="11852730" w14:textId="77777777" w:rsidR="00A34C3A" w:rsidRDefault="00A34C3A" w:rsidP="00031F3C">
      <w:pPr>
        <w:spacing w:line="360" w:lineRule="auto"/>
        <w:jc w:val="both"/>
      </w:pPr>
    </w:p>
    <w:p w14:paraId="112A6C8F" w14:textId="77777777" w:rsidR="00A34C3A" w:rsidRDefault="00A34C3A" w:rsidP="00031F3C">
      <w:pPr>
        <w:spacing w:line="360" w:lineRule="auto"/>
        <w:jc w:val="both"/>
      </w:pPr>
    </w:p>
    <w:p w14:paraId="6676FBA6" w14:textId="77777777" w:rsidR="00A34C3A" w:rsidRDefault="00A34C3A" w:rsidP="00031F3C">
      <w:pPr>
        <w:spacing w:line="360" w:lineRule="auto"/>
        <w:jc w:val="both"/>
      </w:pPr>
    </w:p>
    <w:p w14:paraId="23A6A4E3" w14:textId="77777777" w:rsidR="00A34C3A" w:rsidRDefault="00A34C3A" w:rsidP="00031F3C">
      <w:pPr>
        <w:spacing w:line="360" w:lineRule="auto"/>
        <w:jc w:val="both"/>
      </w:pPr>
    </w:p>
    <w:p w14:paraId="4F547F26" w14:textId="77777777" w:rsidR="00A34C3A" w:rsidRDefault="00A34C3A" w:rsidP="00031F3C">
      <w:pPr>
        <w:spacing w:line="360" w:lineRule="auto"/>
        <w:jc w:val="both"/>
      </w:pPr>
    </w:p>
    <w:p w14:paraId="1CF8091E" w14:textId="77777777" w:rsidR="00A34C3A" w:rsidRDefault="00A34C3A" w:rsidP="00031F3C">
      <w:pPr>
        <w:spacing w:line="360" w:lineRule="auto"/>
        <w:jc w:val="both"/>
      </w:pPr>
    </w:p>
    <w:p w14:paraId="136C6111" w14:textId="77777777" w:rsidR="00A34C3A" w:rsidRPr="00BE536E" w:rsidRDefault="00A34C3A" w:rsidP="00031F3C">
      <w:pPr>
        <w:spacing w:line="360" w:lineRule="auto"/>
        <w:jc w:val="both"/>
        <w:rPr>
          <w:sz w:val="24"/>
          <w:szCs w:val="24"/>
        </w:rPr>
      </w:pPr>
    </w:p>
    <w:p w14:paraId="30330B71" w14:textId="65780517" w:rsidR="00031F3C" w:rsidRPr="00BE536E" w:rsidRDefault="00031F3C" w:rsidP="00031F3C">
      <w:pPr>
        <w:spacing w:line="360" w:lineRule="auto"/>
        <w:jc w:val="both"/>
        <w:rPr>
          <w:sz w:val="24"/>
          <w:szCs w:val="24"/>
        </w:rPr>
      </w:pPr>
    </w:p>
    <w:p w14:paraId="73E42393" w14:textId="77777777" w:rsidR="00783DBD" w:rsidRDefault="00783DBD" w:rsidP="00031F3C">
      <w:pPr>
        <w:spacing w:line="360" w:lineRule="auto"/>
        <w:jc w:val="both"/>
        <w:rPr>
          <w:sz w:val="24"/>
          <w:szCs w:val="24"/>
        </w:rPr>
      </w:pPr>
    </w:p>
    <w:p w14:paraId="21EFFC7A" w14:textId="77777777" w:rsidR="00C42E6E" w:rsidRDefault="00C42E6E" w:rsidP="00031F3C">
      <w:pPr>
        <w:spacing w:line="360" w:lineRule="auto"/>
        <w:jc w:val="both"/>
        <w:rPr>
          <w:sz w:val="24"/>
          <w:szCs w:val="24"/>
        </w:rPr>
      </w:pPr>
    </w:p>
    <w:p w14:paraId="5C3260BA" w14:textId="77777777" w:rsidR="00031F3C" w:rsidRPr="00BE536E" w:rsidRDefault="00031F3C" w:rsidP="00031F3C">
      <w:pPr>
        <w:jc w:val="right"/>
        <w:rPr>
          <w:b/>
          <w:sz w:val="24"/>
          <w:szCs w:val="24"/>
        </w:rPr>
      </w:pPr>
      <w:r w:rsidRPr="00BE536E">
        <w:rPr>
          <w:b/>
          <w:sz w:val="24"/>
          <w:szCs w:val="24"/>
        </w:rPr>
        <w:t>Приложение А</w:t>
      </w:r>
    </w:p>
    <w:p w14:paraId="13B59E82" w14:textId="77777777" w:rsidR="00031F3C" w:rsidRPr="00BE536E" w:rsidRDefault="00031F3C" w:rsidP="00031F3C">
      <w:pPr>
        <w:jc w:val="right"/>
        <w:rPr>
          <w:sz w:val="24"/>
          <w:szCs w:val="24"/>
        </w:rPr>
      </w:pPr>
    </w:p>
    <w:p w14:paraId="398E9A06" w14:textId="77777777" w:rsidR="00031F3C" w:rsidRPr="00BE536E" w:rsidRDefault="00031F3C" w:rsidP="00031F3C">
      <w:pPr>
        <w:spacing w:line="360" w:lineRule="auto"/>
        <w:ind w:firstLine="709"/>
        <w:rPr>
          <w:b/>
        </w:rPr>
      </w:pPr>
      <w:r w:rsidRPr="00BE536E">
        <w:rPr>
          <w:b/>
        </w:rPr>
        <w:t>Список источников, используемых для оценки кредитного риска.</w:t>
      </w:r>
    </w:p>
    <w:p w14:paraId="2EB7A5E2" w14:textId="77777777" w:rsidR="00031F3C" w:rsidRPr="00BE536E" w:rsidRDefault="00031F3C" w:rsidP="00031F3C">
      <w:pPr>
        <w:spacing w:line="360" w:lineRule="auto"/>
        <w:ind w:firstLine="709"/>
        <w:rPr>
          <w:b/>
        </w:rPr>
      </w:pPr>
    </w:p>
    <w:p w14:paraId="56639070" w14:textId="77777777" w:rsidR="00031F3C" w:rsidRPr="00BE536E" w:rsidRDefault="00031F3C" w:rsidP="00D05311">
      <w:pPr>
        <w:numPr>
          <w:ilvl w:val="0"/>
          <w:numId w:val="64"/>
        </w:numPr>
        <w:spacing w:after="0" w:line="240" w:lineRule="auto"/>
        <w:ind w:left="0" w:firstLine="709"/>
        <w:jc w:val="both"/>
        <w:rPr>
          <w:u w:val="single"/>
        </w:rPr>
      </w:pPr>
      <w:r w:rsidRPr="00BE536E">
        <w:rPr>
          <w:u w:val="single"/>
        </w:rPr>
        <w:t>В отношении юридических лиц</w:t>
      </w:r>
    </w:p>
    <w:p w14:paraId="44A90183" w14:textId="77777777" w:rsidR="00031F3C" w:rsidRPr="00BE536E" w:rsidRDefault="00031F3C" w:rsidP="00567222">
      <w:pPr>
        <w:spacing w:after="0" w:line="240" w:lineRule="auto"/>
        <w:ind w:firstLine="709"/>
        <w:jc w:val="both"/>
      </w:pPr>
      <w:r w:rsidRPr="00BE536E">
        <w:t xml:space="preserve">- уполномоченное агентство ЗАО «Интерфакс» </w:t>
      </w:r>
      <w:hyperlink r:id="rId16" w:history="1">
        <w:r w:rsidRPr="00BE536E">
          <w:rPr>
            <w:rStyle w:val="a5"/>
          </w:rPr>
          <w:t>https://www.e-disclosure.ru/</w:t>
        </w:r>
      </w:hyperlink>
      <w:r w:rsidRPr="00BE536E">
        <w:t>;</w:t>
      </w:r>
    </w:p>
    <w:p w14:paraId="22ABDCDA" w14:textId="77777777" w:rsidR="00031F3C" w:rsidRPr="00BE536E" w:rsidRDefault="00031F3C" w:rsidP="00567222">
      <w:pPr>
        <w:spacing w:after="0" w:line="240" w:lineRule="auto"/>
        <w:ind w:firstLine="709"/>
        <w:jc w:val="both"/>
      </w:pPr>
      <w:r w:rsidRPr="00BE536E">
        <w:t xml:space="preserve">-Московская Биржа </w:t>
      </w:r>
      <w:hyperlink r:id="rId17" w:history="1">
        <w:r w:rsidRPr="00BE536E">
          <w:rPr>
            <w:rStyle w:val="a5"/>
          </w:rPr>
          <w:t>https://www.moex.com/</w:t>
        </w:r>
      </w:hyperlink>
      <w:r w:rsidRPr="00BE536E">
        <w:t>;</w:t>
      </w:r>
    </w:p>
    <w:p w14:paraId="36445E01" w14:textId="77777777" w:rsidR="00031F3C" w:rsidRPr="00BE536E" w:rsidRDefault="00031F3C" w:rsidP="00567222">
      <w:pPr>
        <w:spacing w:after="0" w:line="240" w:lineRule="auto"/>
        <w:ind w:firstLine="709"/>
        <w:jc w:val="both"/>
      </w:pPr>
      <w:r w:rsidRPr="00BE536E">
        <w:t xml:space="preserve">- сайт Центрального Банка РФ </w:t>
      </w:r>
      <w:hyperlink r:id="rId18" w:history="1">
        <w:r w:rsidRPr="00BE536E">
          <w:rPr>
            <w:rStyle w:val="a5"/>
          </w:rPr>
          <w:t>https://www.cbr.ru/</w:t>
        </w:r>
      </w:hyperlink>
      <w:r w:rsidRPr="00BE536E">
        <w:t>;</w:t>
      </w:r>
    </w:p>
    <w:p w14:paraId="77D718C9" w14:textId="77777777" w:rsidR="00031F3C" w:rsidRPr="00BE536E" w:rsidRDefault="00031F3C" w:rsidP="00567222">
      <w:pPr>
        <w:spacing w:after="0" w:line="240" w:lineRule="auto"/>
        <w:ind w:firstLine="709"/>
        <w:jc w:val="both"/>
        <w:rPr>
          <w:u w:val="single"/>
        </w:rPr>
      </w:pPr>
      <w:r w:rsidRPr="00BE536E">
        <w:t xml:space="preserve">- картотека арбитражных дел </w:t>
      </w:r>
      <w:hyperlink r:id="rId19" w:history="1">
        <w:r w:rsidRPr="00BE536E">
          <w:rPr>
            <w:rStyle w:val="a5"/>
          </w:rPr>
          <w:t>https://kad.arbitr.ru</w:t>
        </w:r>
      </w:hyperlink>
      <w:r w:rsidRPr="00BE536E">
        <w:rPr>
          <w:u w:val="single"/>
        </w:rPr>
        <w:t>;</w:t>
      </w:r>
    </w:p>
    <w:p w14:paraId="11DEE1B7" w14:textId="77777777" w:rsidR="00031F3C" w:rsidRPr="00BE536E" w:rsidRDefault="00031F3C" w:rsidP="00567222">
      <w:pPr>
        <w:spacing w:after="0" w:line="240" w:lineRule="auto"/>
        <w:ind w:firstLine="709"/>
        <w:jc w:val="both"/>
        <w:rPr>
          <w:u w:val="single"/>
        </w:rPr>
      </w:pPr>
      <w:r w:rsidRPr="00BE536E">
        <w:t xml:space="preserve">- единый федеральный реестр сведений о банкротстве </w:t>
      </w:r>
      <w:hyperlink r:id="rId20" w:history="1">
        <w:r w:rsidRPr="00BE536E">
          <w:rPr>
            <w:rStyle w:val="a5"/>
          </w:rPr>
          <w:t>https://bankrot.fedresurs.ru</w:t>
        </w:r>
      </w:hyperlink>
      <w:r w:rsidRPr="00BE536E">
        <w:rPr>
          <w:u w:val="single"/>
        </w:rPr>
        <w:t>;</w:t>
      </w:r>
    </w:p>
    <w:p w14:paraId="2E85E559" w14:textId="77777777" w:rsidR="00031F3C" w:rsidRPr="00BE536E" w:rsidRDefault="00031F3C" w:rsidP="00567222">
      <w:pPr>
        <w:spacing w:after="0" w:line="240" w:lineRule="auto"/>
        <w:ind w:firstLine="709"/>
        <w:jc w:val="both"/>
      </w:pPr>
      <w:r w:rsidRPr="00BE536E">
        <w:t xml:space="preserve">- единый федеральный реестр сведений о фактах деятельности юридических лиц </w:t>
      </w:r>
      <w:hyperlink r:id="rId21" w:history="1">
        <w:r w:rsidRPr="00BE536E">
          <w:rPr>
            <w:rStyle w:val="a5"/>
          </w:rPr>
          <w:t>https://fedresurs.ru</w:t>
        </w:r>
      </w:hyperlink>
      <w:r w:rsidRPr="00BE536E">
        <w:rPr>
          <w:u w:val="single"/>
        </w:rPr>
        <w:t>;</w:t>
      </w:r>
    </w:p>
    <w:p w14:paraId="61BC6631" w14:textId="77777777" w:rsidR="00031F3C" w:rsidRPr="00BE536E" w:rsidRDefault="00031F3C" w:rsidP="00567222">
      <w:pPr>
        <w:spacing w:after="0" w:line="240" w:lineRule="auto"/>
        <w:ind w:firstLine="709"/>
        <w:jc w:val="both"/>
      </w:pPr>
      <w:r w:rsidRPr="00BE536E">
        <w:t>-https://www.acra-ratings.ru/;</w:t>
      </w:r>
    </w:p>
    <w:p w14:paraId="13A93DFF" w14:textId="77777777" w:rsidR="00031F3C" w:rsidRPr="00BE536E" w:rsidRDefault="00031F3C" w:rsidP="00567222">
      <w:pPr>
        <w:spacing w:after="0" w:line="240" w:lineRule="auto"/>
        <w:ind w:firstLine="709"/>
        <w:jc w:val="both"/>
      </w:pPr>
      <w:r w:rsidRPr="00BE536E">
        <w:t>-https://raexpert.ru/;</w:t>
      </w:r>
    </w:p>
    <w:p w14:paraId="5EBC0B18" w14:textId="77777777" w:rsidR="00031F3C" w:rsidRPr="00BE536E" w:rsidRDefault="00031F3C" w:rsidP="00567222">
      <w:pPr>
        <w:spacing w:after="0" w:line="240" w:lineRule="auto"/>
        <w:ind w:firstLine="709"/>
        <w:jc w:val="both"/>
      </w:pPr>
      <w:r w:rsidRPr="00BE536E">
        <w:t>-https://www.fitchratings.com/;</w:t>
      </w:r>
    </w:p>
    <w:p w14:paraId="6F027F0B" w14:textId="77777777" w:rsidR="00031F3C" w:rsidRPr="00BE536E" w:rsidRDefault="00031F3C" w:rsidP="00567222">
      <w:pPr>
        <w:spacing w:after="0" w:line="240" w:lineRule="auto"/>
        <w:ind w:firstLine="709"/>
        <w:jc w:val="both"/>
      </w:pPr>
      <w:r w:rsidRPr="00BE536E">
        <w:t>-</w:t>
      </w:r>
      <w:r w:rsidRPr="00BE536E">
        <w:rPr>
          <w:lang w:val="en-US"/>
        </w:rPr>
        <w:t>https</w:t>
      </w:r>
      <w:r w:rsidRPr="00BE536E">
        <w:t>://</w:t>
      </w:r>
      <w:r w:rsidRPr="00BE536E">
        <w:rPr>
          <w:lang w:val="en-US"/>
        </w:rPr>
        <w:t>www</w:t>
      </w:r>
      <w:r w:rsidRPr="00BE536E">
        <w:t>.</w:t>
      </w:r>
      <w:r w:rsidRPr="00BE536E">
        <w:rPr>
          <w:lang w:val="en-US"/>
        </w:rPr>
        <w:t>standardandpoors</w:t>
      </w:r>
      <w:r w:rsidRPr="00BE536E">
        <w:t>.</w:t>
      </w:r>
      <w:r w:rsidRPr="00BE536E">
        <w:rPr>
          <w:lang w:val="en-US"/>
        </w:rPr>
        <w:t>com</w:t>
      </w:r>
      <w:r w:rsidRPr="00BE536E">
        <w:t>/;</w:t>
      </w:r>
    </w:p>
    <w:p w14:paraId="4DD0B558" w14:textId="77777777" w:rsidR="00031F3C" w:rsidRPr="00BE536E" w:rsidRDefault="00031F3C" w:rsidP="00567222">
      <w:pPr>
        <w:spacing w:after="0" w:line="240" w:lineRule="auto"/>
        <w:ind w:firstLine="709"/>
        <w:jc w:val="both"/>
      </w:pPr>
      <w:r w:rsidRPr="00BE536E">
        <w:t>-</w:t>
      </w:r>
      <w:hyperlink r:id="rId22" w:history="1">
        <w:r w:rsidRPr="00BE536E">
          <w:rPr>
            <w:rStyle w:val="a5"/>
            <w:lang w:val="en-US"/>
          </w:rPr>
          <w:t>https</w:t>
        </w:r>
        <w:r w:rsidRPr="00BE536E">
          <w:rPr>
            <w:rStyle w:val="a5"/>
          </w:rPr>
          <w:t>://</w:t>
        </w:r>
        <w:r w:rsidRPr="00BE536E">
          <w:rPr>
            <w:rStyle w:val="a5"/>
            <w:lang w:val="en-US"/>
          </w:rPr>
          <w:t>www</w:t>
        </w:r>
        <w:r w:rsidRPr="00BE536E">
          <w:rPr>
            <w:rStyle w:val="a5"/>
          </w:rPr>
          <w:t>.</w:t>
        </w:r>
        <w:r w:rsidRPr="00BE536E">
          <w:rPr>
            <w:rStyle w:val="a5"/>
            <w:lang w:val="en-US"/>
          </w:rPr>
          <w:t>moodys</w:t>
        </w:r>
        <w:r w:rsidRPr="00BE536E">
          <w:rPr>
            <w:rStyle w:val="a5"/>
          </w:rPr>
          <w:t>.</w:t>
        </w:r>
        <w:r w:rsidRPr="00BE536E">
          <w:rPr>
            <w:rStyle w:val="a5"/>
            <w:lang w:val="en-US"/>
          </w:rPr>
          <w:t>com</w:t>
        </w:r>
        <w:r w:rsidRPr="00BE536E">
          <w:rPr>
            <w:rStyle w:val="a5"/>
          </w:rPr>
          <w:t>/</w:t>
        </w:r>
      </w:hyperlink>
      <w:r w:rsidRPr="00BE536E">
        <w:t>;</w:t>
      </w:r>
    </w:p>
    <w:p w14:paraId="5AC9BD9E" w14:textId="77777777" w:rsidR="00031F3C" w:rsidRPr="00BE536E" w:rsidRDefault="00031F3C" w:rsidP="00567222">
      <w:pPr>
        <w:spacing w:after="0" w:line="240" w:lineRule="auto"/>
        <w:ind w:firstLine="709"/>
        <w:jc w:val="both"/>
      </w:pPr>
      <w:r w:rsidRPr="00BE536E">
        <w:t>-официальный сайт контрагента/эмитента/кредитной организации;</w:t>
      </w:r>
    </w:p>
    <w:p w14:paraId="087C4FA3" w14:textId="77777777" w:rsidR="00031F3C" w:rsidRPr="00BE536E" w:rsidRDefault="00031F3C" w:rsidP="00567222">
      <w:pPr>
        <w:spacing w:after="0" w:line="240" w:lineRule="auto"/>
        <w:ind w:firstLine="709"/>
        <w:jc w:val="both"/>
      </w:pPr>
      <w:r w:rsidRPr="00BE536E">
        <w:t xml:space="preserve">- сервис предоставления бухгалтерской (годовой) отчетности Росстата - </w:t>
      </w:r>
      <w:hyperlink r:id="rId23" w:history="1">
        <w:r w:rsidRPr="00BE536E">
          <w:rPr>
            <w:rStyle w:val="a5"/>
          </w:rPr>
          <w:t>http://www.gks.ru/accounting_report</w:t>
        </w:r>
      </w:hyperlink>
      <w:r w:rsidRPr="00BE536E">
        <w:t>;</w:t>
      </w:r>
    </w:p>
    <w:p w14:paraId="2407CFA6" w14:textId="77777777" w:rsidR="00031F3C" w:rsidRPr="00BE536E" w:rsidRDefault="00031F3C" w:rsidP="00567222">
      <w:pPr>
        <w:spacing w:after="0" w:line="240" w:lineRule="auto"/>
        <w:ind w:firstLine="709"/>
        <w:jc w:val="both"/>
      </w:pPr>
      <w:r w:rsidRPr="00BE536E">
        <w:t>- документы, полученные от Управляющей компании.</w:t>
      </w:r>
    </w:p>
    <w:p w14:paraId="5AB5C5F4" w14:textId="77777777" w:rsidR="00031F3C" w:rsidRPr="00BE536E" w:rsidRDefault="00031F3C" w:rsidP="00567222">
      <w:pPr>
        <w:spacing w:line="240" w:lineRule="auto"/>
        <w:ind w:firstLine="709"/>
        <w:jc w:val="both"/>
      </w:pPr>
    </w:p>
    <w:p w14:paraId="0A7819C1" w14:textId="77777777" w:rsidR="00031F3C" w:rsidRPr="00BE536E" w:rsidRDefault="00031F3C" w:rsidP="00D05311">
      <w:pPr>
        <w:numPr>
          <w:ilvl w:val="0"/>
          <w:numId w:val="64"/>
        </w:numPr>
        <w:spacing w:after="0" w:line="240" w:lineRule="auto"/>
        <w:ind w:left="0" w:firstLine="709"/>
        <w:jc w:val="both"/>
        <w:rPr>
          <w:u w:val="single"/>
        </w:rPr>
      </w:pPr>
      <w:r w:rsidRPr="00BE536E">
        <w:rPr>
          <w:u w:val="single"/>
        </w:rPr>
        <w:t>В отношении физических лиц</w:t>
      </w:r>
    </w:p>
    <w:p w14:paraId="3C80BB1C" w14:textId="77777777" w:rsidR="00031F3C" w:rsidRPr="00BE536E" w:rsidRDefault="00031F3C" w:rsidP="00567222">
      <w:pPr>
        <w:spacing w:after="0" w:line="240" w:lineRule="auto"/>
        <w:ind w:firstLine="709"/>
        <w:jc w:val="both"/>
      </w:pPr>
      <w:r w:rsidRPr="00BE536E">
        <w:t xml:space="preserve">- картотека арбитражных дел </w:t>
      </w:r>
      <w:hyperlink r:id="rId24" w:history="1">
        <w:r w:rsidRPr="00BE536E">
          <w:rPr>
            <w:rStyle w:val="a5"/>
          </w:rPr>
          <w:t>https://kad.arbitr.ru</w:t>
        </w:r>
      </w:hyperlink>
    </w:p>
    <w:p w14:paraId="3196EB47" w14:textId="77777777" w:rsidR="00031F3C" w:rsidRPr="00BE536E" w:rsidRDefault="00031F3C" w:rsidP="00567222">
      <w:pPr>
        <w:spacing w:after="0" w:line="240" w:lineRule="auto"/>
        <w:ind w:firstLine="709"/>
        <w:jc w:val="both"/>
      </w:pPr>
      <w:r w:rsidRPr="00BE536E">
        <w:t xml:space="preserve">- единый федеральный реестр сведений о банкротстве </w:t>
      </w:r>
      <w:hyperlink r:id="rId25" w:history="1">
        <w:r w:rsidRPr="00BE536E">
          <w:rPr>
            <w:rStyle w:val="a5"/>
          </w:rPr>
          <w:t>https://bankrot.fedresurs.ru</w:t>
        </w:r>
      </w:hyperlink>
    </w:p>
    <w:p w14:paraId="05CCCEED" w14:textId="77777777" w:rsidR="00031F3C" w:rsidRPr="00BE536E" w:rsidRDefault="00031F3C" w:rsidP="00567222">
      <w:pPr>
        <w:spacing w:after="0" w:line="240" w:lineRule="auto"/>
        <w:ind w:firstLine="709"/>
        <w:jc w:val="both"/>
      </w:pPr>
      <w:r w:rsidRPr="00BE536E">
        <w:t xml:space="preserve">- издание «Коммерсант» - </w:t>
      </w:r>
      <w:hyperlink r:id="rId26" w:history="1">
        <w:r w:rsidRPr="00BE536E">
          <w:rPr>
            <w:rStyle w:val="a5"/>
          </w:rPr>
          <w:t>https://bankruptcy.kommersant.ru</w:t>
        </w:r>
      </w:hyperlink>
    </w:p>
    <w:p w14:paraId="1D2AFC31" w14:textId="77777777" w:rsidR="00031F3C" w:rsidRPr="00BE536E" w:rsidRDefault="00031F3C" w:rsidP="00031F3C">
      <w:pPr>
        <w:rPr>
          <w:sz w:val="24"/>
          <w:szCs w:val="24"/>
        </w:rPr>
      </w:pPr>
      <w:r w:rsidRPr="00BE536E">
        <w:rPr>
          <w:sz w:val="24"/>
          <w:szCs w:val="24"/>
        </w:rPr>
        <w:br w:type="page"/>
      </w:r>
    </w:p>
    <w:p w14:paraId="1519B015" w14:textId="77777777" w:rsidR="00031F3C" w:rsidRPr="00BE536E" w:rsidRDefault="00031F3C" w:rsidP="00031F3C">
      <w:pPr>
        <w:jc w:val="right"/>
        <w:rPr>
          <w:b/>
          <w:sz w:val="24"/>
          <w:szCs w:val="24"/>
        </w:rPr>
      </w:pPr>
      <w:r w:rsidRPr="00BE536E">
        <w:rPr>
          <w:b/>
          <w:sz w:val="24"/>
          <w:szCs w:val="24"/>
        </w:rPr>
        <w:lastRenderedPageBreak/>
        <w:t>Приложение Б</w:t>
      </w:r>
    </w:p>
    <w:p w14:paraId="1584C5A9" w14:textId="77777777" w:rsidR="00031F3C" w:rsidRPr="00BE536E" w:rsidRDefault="00031F3C" w:rsidP="00031F3C">
      <w:pPr>
        <w:jc w:val="center"/>
        <w:rPr>
          <w:b/>
          <w:sz w:val="24"/>
          <w:szCs w:val="24"/>
        </w:rPr>
      </w:pPr>
    </w:p>
    <w:p w14:paraId="219FA86E" w14:textId="77777777" w:rsidR="00A2305C" w:rsidRPr="00BE536E" w:rsidRDefault="00A2305C" w:rsidP="00A2305C">
      <w:pPr>
        <w:tabs>
          <w:tab w:val="left" w:pos="6436"/>
        </w:tabs>
        <w:spacing w:line="360" w:lineRule="auto"/>
        <w:ind w:firstLine="709"/>
        <w:rPr>
          <w:b/>
        </w:rPr>
      </w:pPr>
      <w:r w:rsidRPr="00BE536E">
        <w:rPr>
          <w:b/>
        </w:rPr>
        <w:t>Список банков, данные по стоимости риска которых могут использоваться для определения справедливой стоимости обеспеченной/необеспеченной задолженности</w:t>
      </w:r>
    </w:p>
    <w:p w14:paraId="050D5B1B" w14:textId="77777777" w:rsidR="00031F3C" w:rsidRPr="00BE536E" w:rsidRDefault="00031F3C" w:rsidP="00031F3C">
      <w:pPr>
        <w:tabs>
          <w:tab w:val="left" w:pos="6436"/>
        </w:tabs>
        <w:spacing w:line="360" w:lineRule="auto"/>
        <w:ind w:firstLine="709"/>
      </w:pPr>
      <w:r w:rsidRPr="00BE536E">
        <w:tab/>
      </w:r>
    </w:p>
    <w:p w14:paraId="6C6CD7CC" w14:textId="77777777" w:rsidR="00031F3C" w:rsidRPr="00BE536E" w:rsidRDefault="00031F3C" w:rsidP="00D05311">
      <w:pPr>
        <w:numPr>
          <w:ilvl w:val="0"/>
          <w:numId w:val="62"/>
        </w:numPr>
        <w:spacing w:after="0" w:line="240" w:lineRule="auto"/>
        <w:ind w:left="0" w:firstLine="709"/>
        <w:jc w:val="both"/>
      </w:pPr>
      <w:r w:rsidRPr="00BE536E">
        <w:t>Банк Тинькофф</w:t>
      </w:r>
    </w:p>
    <w:p w14:paraId="269FA7C5" w14:textId="77777777" w:rsidR="00031F3C" w:rsidRPr="00BE536E" w:rsidRDefault="00031F3C" w:rsidP="00D05311">
      <w:pPr>
        <w:numPr>
          <w:ilvl w:val="0"/>
          <w:numId w:val="62"/>
        </w:numPr>
        <w:spacing w:after="0" w:line="240" w:lineRule="auto"/>
        <w:ind w:left="0" w:firstLine="709"/>
        <w:jc w:val="both"/>
      </w:pPr>
      <w:r w:rsidRPr="00BE536E">
        <w:t xml:space="preserve">Банк Русский Стандарт </w:t>
      </w:r>
    </w:p>
    <w:p w14:paraId="55F3F161" w14:textId="77777777" w:rsidR="00031F3C" w:rsidRPr="00BE536E" w:rsidRDefault="00031F3C" w:rsidP="00D05311">
      <w:pPr>
        <w:numPr>
          <w:ilvl w:val="0"/>
          <w:numId w:val="62"/>
        </w:numPr>
        <w:spacing w:after="0" w:line="240" w:lineRule="auto"/>
        <w:ind w:left="0" w:firstLine="709"/>
        <w:jc w:val="both"/>
      </w:pPr>
      <w:r w:rsidRPr="00BE536E">
        <w:t>Банк ХоумКредит</w:t>
      </w:r>
    </w:p>
    <w:p w14:paraId="0A7FF4A7" w14:textId="77777777" w:rsidR="00031F3C" w:rsidRPr="00BE536E" w:rsidRDefault="00031F3C" w:rsidP="00D05311">
      <w:pPr>
        <w:numPr>
          <w:ilvl w:val="0"/>
          <w:numId w:val="62"/>
        </w:numPr>
        <w:spacing w:after="0" w:line="240" w:lineRule="auto"/>
        <w:ind w:left="0" w:firstLine="709"/>
        <w:jc w:val="both"/>
      </w:pPr>
      <w:r w:rsidRPr="00BE536E">
        <w:t>Локобанк</w:t>
      </w:r>
    </w:p>
    <w:p w14:paraId="69D9590C" w14:textId="77777777" w:rsidR="00031F3C" w:rsidRPr="00BE536E" w:rsidRDefault="00031F3C" w:rsidP="00D05311">
      <w:pPr>
        <w:numPr>
          <w:ilvl w:val="0"/>
          <w:numId w:val="62"/>
        </w:numPr>
        <w:spacing w:after="0" w:line="240" w:lineRule="auto"/>
        <w:ind w:left="0" w:firstLine="709"/>
        <w:jc w:val="both"/>
      </w:pPr>
      <w:r w:rsidRPr="00BE536E">
        <w:t>ОТП-банк</w:t>
      </w:r>
    </w:p>
    <w:p w14:paraId="523A0BE8" w14:textId="77777777" w:rsidR="00031F3C" w:rsidRPr="00BE536E" w:rsidRDefault="00031F3C" w:rsidP="00D05311">
      <w:pPr>
        <w:numPr>
          <w:ilvl w:val="0"/>
          <w:numId w:val="62"/>
        </w:numPr>
        <w:spacing w:after="0" w:line="240" w:lineRule="auto"/>
        <w:ind w:left="0" w:firstLine="709"/>
        <w:jc w:val="both"/>
      </w:pPr>
      <w:r w:rsidRPr="00BE536E">
        <w:t>Банк Ренессанс-кредит</w:t>
      </w:r>
    </w:p>
    <w:p w14:paraId="17E7A85D" w14:textId="77777777" w:rsidR="00031F3C" w:rsidRPr="00BE536E" w:rsidRDefault="00031F3C" w:rsidP="00D05311">
      <w:pPr>
        <w:numPr>
          <w:ilvl w:val="0"/>
          <w:numId w:val="62"/>
        </w:numPr>
        <w:spacing w:after="0" w:line="240" w:lineRule="auto"/>
        <w:ind w:left="0" w:firstLine="709"/>
        <w:jc w:val="both"/>
      </w:pPr>
      <w:r w:rsidRPr="00BE536E">
        <w:t>МТС-банк</w:t>
      </w:r>
    </w:p>
    <w:p w14:paraId="2D32AC89" w14:textId="77777777" w:rsidR="00031F3C" w:rsidRPr="00BE536E" w:rsidRDefault="00031F3C" w:rsidP="00D05311">
      <w:pPr>
        <w:numPr>
          <w:ilvl w:val="0"/>
          <w:numId w:val="62"/>
        </w:numPr>
        <w:spacing w:after="0" w:line="240" w:lineRule="auto"/>
        <w:ind w:left="0" w:firstLine="709"/>
        <w:jc w:val="both"/>
      </w:pPr>
      <w:r w:rsidRPr="00BE536E">
        <w:t>Кредит-Европа банк</w:t>
      </w:r>
    </w:p>
    <w:p w14:paraId="0C11D8D1" w14:textId="77777777" w:rsidR="00031F3C" w:rsidRPr="00BE536E" w:rsidRDefault="00031F3C" w:rsidP="00D05311">
      <w:pPr>
        <w:numPr>
          <w:ilvl w:val="0"/>
          <w:numId w:val="63"/>
        </w:numPr>
        <w:spacing w:after="0" w:line="240" w:lineRule="auto"/>
        <w:ind w:left="0" w:firstLine="709"/>
        <w:jc w:val="both"/>
      </w:pPr>
      <w:r w:rsidRPr="00BE536E">
        <w:t xml:space="preserve">Сбербанк, </w:t>
      </w:r>
    </w:p>
    <w:p w14:paraId="23B7839F" w14:textId="77777777" w:rsidR="00031F3C" w:rsidRPr="00BE536E" w:rsidRDefault="00031F3C" w:rsidP="00D05311">
      <w:pPr>
        <w:numPr>
          <w:ilvl w:val="0"/>
          <w:numId w:val="63"/>
        </w:numPr>
        <w:spacing w:after="0" w:line="240" w:lineRule="auto"/>
        <w:ind w:left="0" w:firstLine="709"/>
        <w:jc w:val="both"/>
      </w:pPr>
      <w:r w:rsidRPr="00BE536E">
        <w:t xml:space="preserve">Банк ВТБ, </w:t>
      </w:r>
    </w:p>
    <w:p w14:paraId="52413F5B" w14:textId="77777777" w:rsidR="00031F3C" w:rsidRPr="00BE536E" w:rsidRDefault="00031F3C" w:rsidP="00D05311">
      <w:pPr>
        <w:numPr>
          <w:ilvl w:val="0"/>
          <w:numId w:val="63"/>
        </w:numPr>
        <w:spacing w:after="0" w:line="240" w:lineRule="auto"/>
        <w:ind w:left="0" w:firstLine="709"/>
        <w:jc w:val="both"/>
      </w:pPr>
      <w:r w:rsidRPr="00BE536E">
        <w:t xml:space="preserve">Райффайзенбанк, </w:t>
      </w:r>
    </w:p>
    <w:p w14:paraId="2C2862AC" w14:textId="77777777" w:rsidR="00031F3C" w:rsidRPr="00BE536E" w:rsidRDefault="00031F3C" w:rsidP="00D05311">
      <w:pPr>
        <w:numPr>
          <w:ilvl w:val="0"/>
          <w:numId w:val="63"/>
        </w:numPr>
        <w:spacing w:after="0" w:line="240" w:lineRule="auto"/>
        <w:ind w:left="0" w:firstLine="709"/>
        <w:jc w:val="both"/>
      </w:pPr>
      <w:r w:rsidRPr="00BE536E">
        <w:t xml:space="preserve">Банк Открытие, </w:t>
      </w:r>
    </w:p>
    <w:p w14:paraId="245E2772" w14:textId="77777777" w:rsidR="00031F3C" w:rsidRPr="00BE536E" w:rsidRDefault="00031F3C" w:rsidP="00D05311">
      <w:pPr>
        <w:numPr>
          <w:ilvl w:val="0"/>
          <w:numId w:val="63"/>
        </w:numPr>
        <w:spacing w:after="0" w:line="240" w:lineRule="auto"/>
        <w:ind w:left="0" w:firstLine="709"/>
        <w:jc w:val="both"/>
      </w:pPr>
      <w:r w:rsidRPr="00BE536E">
        <w:t xml:space="preserve">Газпромбанк, </w:t>
      </w:r>
    </w:p>
    <w:p w14:paraId="4B1BF46A" w14:textId="77777777" w:rsidR="00031F3C" w:rsidRPr="00BE536E" w:rsidRDefault="00031F3C" w:rsidP="00D05311">
      <w:pPr>
        <w:numPr>
          <w:ilvl w:val="0"/>
          <w:numId w:val="63"/>
        </w:numPr>
        <w:spacing w:after="0" w:line="240" w:lineRule="auto"/>
        <w:ind w:left="0" w:firstLine="709"/>
        <w:jc w:val="both"/>
        <w:rPr>
          <w:b/>
        </w:rPr>
      </w:pPr>
      <w:r w:rsidRPr="00BE536E">
        <w:t>Банк ДОМ.РФ</w:t>
      </w:r>
    </w:p>
    <w:p w14:paraId="0A7C6299" w14:textId="77777777" w:rsidR="00031F3C" w:rsidRPr="00BE536E" w:rsidRDefault="00031F3C" w:rsidP="00567222">
      <w:pPr>
        <w:spacing w:line="240" w:lineRule="auto"/>
        <w:ind w:firstLine="709"/>
        <w:jc w:val="both"/>
        <w:rPr>
          <w:b/>
        </w:rPr>
      </w:pPr>
      <w:r w:rsidRPr="00BE536E">
        <w:rPr>
          <w:b/>
        </w:rPr>
        <w:br w:type="page"/>
      </w:r>
    </w:p>
    <w:p w14:paraId="60DF441F" w14:textId="77777777" w:rsidR="00031F3C" w:rsidRPr="00BE536E" w:rsidRDefault="00031F3C" w:rsidP="00031F3C">
      <w:pPr>
        <w:jc w:val="right"/>
        <w:rPr>
          <w:b/>
          <w:sz w:val="24"/>
          <w:szCs w:val="24"/>
        </w:rPr>
      </w:pPr>
      <w:r w:rsidRPr="00BE536E">
        <w:rPr>
          <w:b/>
          <w:sz w:val="24"/>
          <w:szCs w:val="24"/>
        </w:rPr>
        <w:lastRenderedPageBreak/>
        <w:t>Приложение В</w:t>
      </w:r>
    </w:p>
    <w:p w14:paraId="70455078" w14:textId="77777777" w:rsidR="00031F3C" w:rsidRPr="00BE536E" w:rsidRDefault="00031F3C" w:rsidP="00031F3C">
      <w:pPr>
        <w:rPr>
          <w:b/>
          <w:sz w:val="24"/>
          <w:szCs w:val="24"/>
        </w:rPr>
      </w:pPr>
    </w:p>
    <w:p w14:paraId="2E2D0B6C" w14:textId="77777777" w:rsidR="00031F3C" w:rsidRPr="00BE536E" w:rsidRDefault="00031F3C" w:rsidP="00031F3C">
      <w:pPr>
        <w:spacing w:line="360" w:lineRule="auto"/>
        <w:ind w:firstLine="709"/>
        <w:jc w:val="both"/>
        <w:rPr>
          <w:b/>
        </w:rPr>
      </w:pPr>
      <w:r w:rsidRPr="00BE536E">
        <w:rPr>
          <w:b/>
        </w:rPr>
        <w:t>Определение соответствия уровню рейтинга через кредитный спред облигаций</w:t>
      </w:r>
    </w:p>
    <w:p w14:paraId="111C0395" w14:textId="77777777" w:rsidR="00031F3C" w:rsidRPr="00BE536E" w:rsidRDefault="00031F3C" w:rsidP="00031F3C">
      <w:pPr>
        <w:spacing w:line="360" w:lineRule="auto"/>
        <w:ind w:firstLine="709"/>
        <w:jc w:val="both"/>
      </w:pPr>
      <w:r w:rsidRPr="00BE536E">
        <w:t>Порядок определения соответствия уровню рейтинга на дату оценки:</w:t>
      </w:r>
    </w:p>
    <w:p w14:paraId="7AC21A55" w14:textId="77777777" w:rsidR="00031F3C" w:rsidRPr="00BE536E" w:rsidRDefault="00031F3C" w:rsidP="00D05311">
      <w:pPr>
        <w:numPr>
          <w:ilvl w:val="0"/>
          <w:numId w:val="61"/>
        </w:numPr>
        <w:spacing w:after="0" w:line="240" w:lineRule="auto"/>
        <w:ind w:left="0" w:firstLine="709"/>
        <w:jc w:val="both"/>
      </w:pPr>
      <w:r w:rsidRPr="00BE536E">
        <w:t>Определяется доходность к погашению по облигациям данной организации сроком более 1 года и менее 3 лет. При отсутствии облигаций со сроком менее 3 лет используется спрэд с индексами соответствующей срочности. При наличии облигаций со сроком погашения только менее 1 года для расчета кредитного спрэда используются 3 (Три) облигации других эмитентов, имеющих как близкие по сроку и доходности облигации, так и облигации со сроком 1-3 года.</w:t>
      </w:r>
    </w:p>
    <w:p w14:paraId="0379195B" w14:textId="77777777" w:rsidR="00031F3C" w:rsidRPr="00BE536E" w:rsidRDefault="00031F3C" w:rsidP="00D05311">
      <w:pPr>
        <w:numPr>
          <w:ilvl w:val="0"/>
          <w:numId w:val="61"/>
        </w:numPr>
        <w:spacing w:after="0" w:line="240" w:lineRule="auto"/>
        <w:ind w:left="0" w:firstLine="709"/>
        <w:jc w:val="both"/>
      </w:pPr>
      <w:r w:rsidRPr="00BE536E">
        <w:t>Определяется, доходности какого из индексов полученная доходность по облигации наиболее соответствует, в качестве меры близости используется средний</w:t>
      </w:r>
      <w:r w:rsidRPr="00BE536E">
        <w:rPr>
          <w:rStyle w:val="ab"/>
        </w:rPr>
        <w:footnoteReference w:id="30"/>
      </w:r>
      <w:r w:rsidRPr="00BE536E">
        <w:t xml:space="preserve"> кредитный спрэд облигаций с </w:t>
      </w:r>
      <w:r w:rsidRPr="00BE536E">
        <w:rPr>
          <w:lang w:val="en-US"/>
        </w:rPr>
        <w:t>G</w:t>
      </w:r>
      <w:r w:rsidRPr="00BE536E">
        <w:t>-</w:t>
      </w:r>
      <w:r w:rsidRPr="00BE536E">
        <w:rPr>
          <w:lang w:val="en-US"/>
        </w:rPr>
        <w:t>curve</w:t>
      </w:r>
      <w:r w:rsidRPr="00BE536E">
        <w:t xml:space="preserve"> в сравнении с кредитным спрэдом указанных ниже индексов. Кредитный спрэд рассчитывается</w:t>
      </w:r>
      <w:r w:rsidRPr="00BE536E">
        <w:rPr>
          <w:rStyle w:val="ab"/>
        </w:rPr>
        <w:footnoteReference w:id="31"/>
      </w:r>
      <w:r w:rsidRPr="00BE536E">
        <w:t xml:space="preserve"> как разница между доходностью к погашению облигации на срок ее дюрации и </w:t>
      </w:r>
      <w:r w:rsidRPr="00BE536E">
        <w:rPr>
          <w:lang w:val="en-US"/>
        </w:rPr>
        <w:t>G</w:t>
      </w:r>
      <w:r w:rsidRPr="00BE536E">
        <w:t>-</w:t>
      </w:r>
      <w:r w:rsidRPr="00BE536E">
        <w:rPr>
          <w:lang w:val="en-US"/>
        </w:rPr>
        <w:t>curve</w:t>
      </w:r>
      <w:r w:rsidRPr="00BE536E">
        <w:t xml:space="preserve"> на этот срок. В указанных целях используются следующие индексы:</w:t>
      </w:r>
    </w:p>
    <w:p w14:paraId="57CE6FE1" w14:textId="77777777" w:rsidR="00031F3C" w:rsidRPr="00BE536E" w:rsidRDefault="00031F3C" w:rsidP="00D05311">
      <w:pPr>
        <w:numPr>
          <w:ilvl w:val="0"/>
          <w:numId w:val="32"/>
        </w:numPr>
        <w:spacing w:after="0" w:line="240" w:lineRule="auto"/>
        <w:ind w:left="0" w:firstLine="709"/>
        <w:jc w:val="both"/>
      </w:pPr>
      <w:r w:rsidRPr="00BE536E">
        <w:t>Индекс корпоративных облигаций (1-3 года, рейтинг ≥ BBB-)</w:t>
      </w:r>
    </w:p>
    <w:p w14:paraId="25A6F0F1" w14:textId="77777777" w:rsidR="00031F3C" w:rsidRPr="00BE536E" w:rsidRDefault="00031F3C" w:rsidP="00567222">
      <w:pPr>
        <w:spacing w:line="240" w:lineRule="auto"/>
        <w:ind w:firstLine="709"/>
        <w:jc w:val="both"/>
      </w:pPr>
      <w:r w:rsidRPr="00BE536E">
        <w:t xml:space="preserve">Тикер – </w:t>
      </w:r>
      <w:r w:rsidRPr="00BE536E">
        <w:rPr>
          <w:b/>
        </w:rPr>
        <w:t>RUCBITRBBB3Y</w:t>
      </w:r>
    </w:p>
    <w:p w14:paraId="10761E1A" w14:textId="77777777" w:rsidR="00031F3C" w:rsidRPr="00BE536E" w:rsidRDefault="00031F3C" w:rsidP="00567222">
      <w:pPr>
        <w:spacing w:line="240" w:lineRule="auto"/>
        <w:ind w:firstLine="709"/>
        <w:jc w:val="both"/>
      </w:pPr>
      <w:r w:rsidRPr="00BE536E">
        <w:t xml:space="preserve">Описание индекса - </w:t>
      </w:r>
      <w:hyperlink r:id="rId27" w:history="1">
        <w:r w:rsidRPr="00BE536E">
          <w:rPr>
            <w:rStyle w:val="a5"/>
          </w:rPr>
          <w:t>http://moex.com/a2197</w:t>
        </w:r>
      </w:hyperlink>
      <w:r w:rsidRPr="00BE536E">
        <w:t>.</w:t>
      </w:r>
    </w:p>
    <w:p w14:paraId="1E6D890A" w14:textId="77777777" w:rsidR="00031F3C" w:rsidRPr="00BE536E" w:rsidRDefault="00031F3C" w:rsidP="00567222">
      <w:pPr>
        <w:spacing w:line="240" w:lineRule="auto"/>
        <w:ind w:firstLine="709"/>
        <w:jc w:val="both"/>
      </w:pPr>
      <w:r w:rsidRPr="00BE536E">
        <w:t xml:space="preserve">Архив значений - </w:t>
      </w:r>
      <w:hyperlink r:id="rId28" w:history="1">
        <w:r w:rsidRPr="00BE536E">
          <w:rPr>
            <w:rStyle w:val="a5"/>
          </w:rPr>
          <w:t>http://moex.com/ru/index/RUCBITRBBB3Y/archive</w:t>
        </w:r>
      </w:hyperlink>
    </w:p>
    <w:p w14:paraId="6B2F03F2" w14:textId="77777777" w:rsidR="00031F3C" w:rsidRPr="00BE536E" w:rsidRDefault="00031F3C" w:rsidP="00D05311">
      <w:pPr>
        <w:numPr>
          <w:ilvl w:val="0"/>
          <w:numId w:val="32"/>
        </w:numPr>
        <w:spacing w:after="0" w:line="240" w:lineRule="auto"/>
        <w:ind w:left="0" w:firstLine="709"/>
        <w:jc w:val="both"/>
      </w:pPr>
      <w:r w:rsidRPr="00BE536E">
        <w:t>Индекс корпоративных облигаций (1-3 года, BB- ≤ рейтинг &lt; BBB-)</w:t>
      </w:r>
    </w:p>
    <w:p w14:paraId="05B7476A" w14:textId="77777777" w:rsidR="00031F3C" w:rsidRPr="00BE536E" w:rsidRDefault="00031F3C" w:rsidP="00567222">
      <w:pPr>
        <w:spacing w:line="240" w:lineRule="auto"/>
        <w:ind w:firstLine="709"/>
        <w:jc w:val="both"/>
      </w:pPr>
      <w:r w:rsidRPr="00BE536E">
        <w:t xml:space="preserve">Тикер -  </w:t>
      </w:r>
      <w:r w:rsidRPr="00BE536E">
        <w:rPr>
          <w:b/>
        </w:rPr>
        <w:t>RUCBITRBB3Y</w:t>
      </w:r>
    </w:p>
    <w:p w14:paraId="633B6195" w14:textId="77777777" w:rsidR="00031F3C" w:rsidRPr="00BE536E" w:rsidRDefault="00031F3C" w:rsidP="00567222">
      <w:pPr>
        <w:spacing w:line="240" w:lineRule="auto"/>
        <w:ind w:firstLine="709"/>
        <w:jc w:val="both"/>
      </w:pPr>
      <w:r w:rsidRPr="00BE536E">
        <w:t xml:space="preserve">Описание индекса -  </w:t>
      </w:r>
      <w:hyperlink r:id="rId29" w:history="1">
        <w:r w:rsidRPr="00BE536E">
          <w:rPr>
            <w:rStyle w:val="a5"/>
          </w:rPr>
          <w:t>http://moex.com/a2196</w:t>
        </w:r>
      </w:hyperlink>
    </w:p>
    <w:p w14:paraId="781B742E" w14:textId="77777777" w:rsidR="00031F3C" w:rsidRPr="00BE536E" w:rsidRDefault="00031F3C" w:rsidP="00567222">
      <w:pPr>
        <w:spacing w:line="240" w:lineRule="auto"/>
        <w:ind w:firstLine="709"/>
        <w:jc w:val="both"/>
      </w:pPr>
      <w:r w:rsidRPr="00BE536E">
        <w:t xml:space="preserve">Архив значений - </w:t>
      </w:r>
      <w:hyperlink r:id="rId30" w:history="1">
        <w:r w:rsidRPr="00BE536E">
          <w:rPr>
            <w:rStyle w:val="a5"/>
          </w:rPr>
          <w:t>http://moex.com/ru/index/RUCBITRBB3Y/archive</w:t>
        </w:r>
      </w:hyperlink>
    </w:p>
    <w:p w14:paraId="50450DDC" w14:textId="77777777" w:rsidR="00031F3C" w:rsidRPr="00BE536E" w:rsidRDefault="00031F3C" w:rsidP="00D05311">
      <w:pPr>
        <w:numPr>
          <w:ilvl w:val="0"/>
          <w:numId w:val="32"/>
        </w:numPr>
        <w:spacing w:after="0" w:line="240" w:lineRule="auto"/>
        <w:ind w:left="0" w:firstLine="709"/>
        <w:jc w:val="both"/>
      </w:pPr>
      <w:r w:rsidRPr="00BE536E">
        <w:t xml:space="preserve">Индекс корпоративных облигаций (1-3 года, B- ≤ рейтинг &lt; BB-) </w:t>
      </w:r>
    </w:p>
    <w:p w14:paraId="04318239" w14:textId="77777777" w:rsidR="00031F3C" w:rsidRPr="00BE536E" w:rsidRDefault="00031F3C" w:rsidP="00567222">
      <w:pPr>
        <w:spacing w:line="240" w:lineRule="auto"/>
        <w:ind w:firstLine="709"/>
        <w:jc w:val="both"/>
      </w:pPr>
      <w:r w:rsidRPr="00BE536E">
        <w:t xml:space="preserve">Тикер - </w:t>
      </w:r>
      <w:r w:rsidRPr="00BE536E">
        <w:rPr>
          <w:b/>
        </w:rPr>
        <w:t>RUCBITRB3Y</w:t>
      </w:r>
    </w:p>
    <w:p w14:paraId="7A5D7B40" w14:textId="77777777" w:rsidR="00031F3C" w:rsidRPr="00BE536E" w:rsidRDefault="00031F3C" w:rsidP="00567222">
      <w:pPr>
        <w:spacing w:line="240" w:lineRule="auto"/>
        <w:ind w:firstLine="709"/>
        <w:jc w:val="both"/>
      </w:pPr>
      <w:r w:rsidRPr="00BE536E">
        <w:t xml:space="preserve">Описание индекса - </w:t>
      </w:r>
      <w:hyperlink r:id="rId31" w:history="1">
        <w:r w:rsidRPr="00BE536E">
          <w:rPr>
            <w:rStyle w:val="a5"/>
          </w:rPr>
          <w:t>http://moex.com/a2195</w:t>
        </w:r>
      </w:hyperlink>
    </w:p>
    <w:p w14:paraId="6F4E4F71" w14:textId="77777777" w:rsidR="00031F3C" w:rsidRPr="00BE536E" w:rsidRDefault="00031F3C" w:rsidP="00567222">
      <w:pPr>
        <w:spacing w:line="240" w:lineRule="auto"/>
        <w:ind w:firstLine="709"/>
        <w:jc w:val="both"/>
      </w:pPr>
      <w:r w:rsidRPr="00BE536E">
        <w:t xml:space="preserve">Архив значений - </w:t>
      </w:r>
      <w:hyperlink r:id="rId32" w:history="1">
        <w:r w:rsidRPr="00BE536E">
          <w:rPr>
            <w:rStyle w:val="a5"/>
          </w:rPr>
          <w:t>http://moex.com/ru/index/RUCBITRB3Y/archive/</w:t>
        </w:r>
      </w:hyperlink>
    </w:p>
    <w:p w14:paraId="2A4A925F" w14:textId="77777777" w:rsidR="00031F3C" w:rsidRPr="00BE536E" w:rsidRDefault="00031F3C" w:rsidP="00D05311">
      <w:pPr>
        <w:numPr>
          <w:ilvl w:val="0"/>
          <w:numId w:val="61"/>
        </w:numPr>
        <w:spacing w:after="0" w:line="240" w:lineRule="auto"/>
        <w:ind w:left="0" w:firstLine="709"/>
        <w:jc w:val="both"/>
      </w:pPr>
      <w:r w:rsidRPr="00BE536E">
        <w:t xml:space="preserve"> По следующей таблице определяется, какой уровень рейтинга использовать при определении вероятности дефолта:</w:t>
      </w:r>
    </w:p>
    <w:p w14:paraId="09DE04C8" w14:textId="77777777" w:rsidR="00031F3C" w:rsidRPr="00BE536E" w:rsidRDefault="00031F3C" w:rsidP="00031F3C">
      <w:pPr>
        <w:spacing w:line="360" w:lineRule="auto"/>
        <w:rPr>
          <w:sz w:val="24"/>
          <w:szCs w:val="24"/>
        </w:rPr>
      </w:pPr>
    </w:p>
    <w:p w14:paraId="256A1DF6" w14:textId="77777777" w:rsidR="00031F3C" w:rsidRPr="00BE536E" w:rsidRDefault="00031F3C" w:rsidP="00031F3C">
      <w:pPr>
        <w:spacing w:line="360" w:lineRule="auto"/>
        <w:rPr>
          <w:sz w:val="24"/>
          <w:szCs w:val="24"/>
        </w:rPr>
      </w:pPr>
    </w:p>
    <w:p w14:paraId="730C2DC5" w14:textId="77777777" w:rsidR="00031F3C" w:rsidRPr="00BE536E" w:rsidRDefault="00031F3C" w:rsidP="00031F3C">
      <w:pPr>
        <w:spacing w:line="360" w:lineRule="auto"/>
        <w:ind w:firstLine="709"/>
        <w:rPr>
          <w:sz w:val="24"/>
          <w:szCs w:val="24"/>
        </w:rPr>
      </w:pPr>
    </w:p>
    <w:tbl>
      <w:tblPr>
        <w:tblpPr w:leftFromText="180" w:rightFromText="180" w:bottomFromText="200" w:vertAnchor="text" w:tblpX="846" w:tblpY="1"/>
        <w:tblOverlap w:val="never"/>
        <w:tblW w:w="8715" w:type="dxa"/>
        <w:tblLayout w:type="fixed"/>
        <w:tblLook w:val="04A0" w:firstRow="1" w:lastRow="0" w:firstColumn="1" w:lastColumn="0" w:noHBand="0" w:noVBand="1"/>
      </w:tblPr>
      <w:tblGrid>
        <w:gridCol w:w="3524"/>
        <w:gridCol w:w="5191"/>
      </w:tblGrid>
      <w:tr w:rsidR="00031F3C" w:rsidRPr="00BE536E" w14:paraId="63EDD2C1" w14:textId="77777777" w:rsidTr="00C819D7">
        <w:trPr>
          <w:trHeight w:val="159"/>
        </w:trPr>
        <w:tc>
          <w:tcPr>
            <w:tcW w:w="3524" w:type="dxa"/>
            <w:tcBorders>
              <w:top w:val="single" w:sz="4" w:space="0" w:color="auto"/>
              <w:left w:val="single" w:sz="4" w:space="0" w:color="auto"/>
              <w:bottom w:val="single" w:sz="8" w:space="0" w:color="auto"/>
              <w:right w:val="single" w:sz="8" w:space="0" w:color="auto"/>
            </w:tcBorders>
            <w:shd w:val="clear" w:color="auto" w:fill="D8D8D8"/>
            <w:noWrap/>
            <w:vAlign w:val="center"/>
            <w:hideMark/>
          </w:tcPr>
          <w:p w14:paraId="3544E2BE" w14:textId="77777777" w:rsidR="00031F3C" w:rsidRPr="00BE536E" w:rsidRDefault="00031F3C" w:rsidP="00567222">
            <w:pPr>
              <w:spacing w:after="0" w:line="360" w:lineRule="auto"/>
              <w:jc w:val="center"/>
              <w:rPr>
                <w:b/>
                <w:bCs/>
                <w:sz w:val="24"/>
                <w:szCs w:val="24"/>
              </w:rPr>
            </w:pPr>
            <w:r w:rsidRPr="00BE536E">
              <w:rPr>
                <w:b/>
                <w:bCs/>
                <w:sz w:val="24"/>
                <w:szCs w:val="24"/>
              </w:rPr>
              <w:t>Moody`s</w:t>
            </w:r>
          </w:p>
        </w:tc>
        <w:tc>
          <w:tcPr>
            <w:tcW w:w="5191" w:type="dxa"/>
            <w:vMerge w:val="restart"/>
            <w:tcBorders>
              <w:top w:val="single" w:sz="4" w:space="0" w:color="auto"/>
              <w:left w:val="single" w:sz="8" w:space="0" w:color="auto"/>
              <w:bottom w:val="single" w:sz="8" w:space="0" w:color="000000"/>
              <w:right w:val="single" w:sz="4" w:space="0" w:color="auto"/>
            </w:tcBorders>
            <w:shd w:val="clear" w:color="auto" w:fill="F2F2F2"/>
            <w:noWrap/>
            <w:vAlign w:val="center"/>
            <w:hideMark/>
          </w:tcPr>
          <w:p w14:paraId="2EBB5663" w14:textId="77777777" w:rsidR="00031F3C" w:rsidRPr="00BE536E" w:rsidRDefault="00031F3C" w:rsidP="00567222">
            <w:pPr>
              <w:spacing w:after="0" w:line="360" w:lineRule="auto"/>
              <w:jc w:val="center"/>
              <w:rPr>
                <w:b/>
                <w:bCs/>
                <w:sz w:val="24"/>
                <w:szCs w:val="24"/>
              </w:rPr>
            </w:pPr>
            <w:r w:rsidRPr="00BE536E">
              <w:rPr>
                <w:b/>
                <w:bCs/>
                <w:sz w:val="24"/>
                <w:szCs w:val="24"/>
              </w:rPr>
              <w:t>Индекс</w:t>
            </w:r>
          </w:p>
        </w:tc>
      </w:tr>
      <w:tr w:rsidR="00031F3C" w:rsidRPr="00BE536E" w14:paraId="2DC8B76D"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F2F2F2"/>
            <w:vAlign w:val="center"/>
            <w:hideMark/>
          </w:tcPr>
          <w:p w14:paraId="35BB1832" w14:textId="77777777" w:rsidR="00031F3C" w:rsidRPr="00BE536E" w:rsidRDefault="00031F3C" w:rsidP="00567222">
            <w:pPr>
              <w:spacing w:after="0" w:line="360" w:lineRule="auto"/>
              <w:jc w:val="center"/>
              <w:rPr>
                <w:b/>
                <w:bCs/>
                <w:sz w:val="24"/>
                <w:szCs w:val="24"/>
              </w:rPr>
            </w:pPr>
            <w:r w:rsidRPr="00BE536E">
              <w:rPr>
                <w:b/>
                <w:bCs/>
                <w:sz w:val="24"/>
                <w:szCs w:val="24"/>
              </w:rPr>
              <w:t>Международная шкала</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659C0716" w14:textId="77777777" w:rsidR="00031F3C" w:rsidRPr="00BE536E" w:rsidRDefault="00031F3C" w:rsidP="00567222">
            <w:pPr>
              <w:spacing w:after="0"/>
              <w:rPr>
                <w:b/>
                <w:bCs/>
                <w:sz w:val="24"/>
                <w:szCs w:val="24"/>
              </w:rPr>
            </w:pPr>
          </w:p>
        </w:tc>
      </w:tr>
      <w:tr w:rsidR="00031F3C" w:rsidRPr="00BE536E" w14:paraId="6309A99A"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0831A1AC" w14:textId="77777777" w:rsidR="00031F3C" w:rsidRPr="00BE536E" w:rsidRDefault="00031F3C" w:rsidP="00567222">
            <w:pPr>
              <w:spacing w:after="0" w:line="360" w:lineRule="auto"/>
              <w:jc w:val="center"/>
              <w:rPr>
                <w:sz w:val="24"/>
                <w:szCs w:val="24"/>
              </w:rPr>
            </w:pPr>
            <w:r w:rsidRPr="00BE536E">
              <w:rPr>
                <w:sz w:val="24"/>
                <w:szCs w:val="24"/>
              </w:rPr>
              <w:t>Ваа1</w:t>
            </w:r>
          </w:p>
        </w:tc>
        <w:tc>
          <w:tcPr>
            <w:tcW w:w="5191" w:type="dxa"/>
            <w:vMerge w:val="restart"/>
            <w:tcBorders>
              <w:top w:val="single" w:sz="8" w:space="0" w:color="000000"/>
              <w:left w:val="single" w:sz="8" w:space="0" w:color="auto"/>
              <w:bottom w:val="single" w:sz="4" w:space="0" w:color="auto"/>
              <w:right w:val="single" w:sz="4" w:space="0" w:color="auto"/>
            </w:tcBorders>
            <w:shd w:val="clear" w:color="auto" w:fill="DEEAF6"/>
            <w:noWrap/>
            <w:vAlign w:val="center"/>
            <w:hideMark/>
          </w:tcPr>
          <w:p w14:paraId="73140B7D" w14:textId="77777777" w:rsidR="00031F3C" w:rsidRPr="00BE536E" w:rsidRDefault="00031F3C" w:rsidP="00567222">
            <w:pPr>
              <w:spacing w:after="0" w:line="360" w:lineRule="auto"/>
              <w:jc w:val="center"/>
              <w:rPr>
                <w:b/>
                <w:bCs/>
                <w:sz w:val="24"/>
                <w:szCs w:val="24"/>
              </w:rPr>
            </w:pPr>
            <w:r w:rsidRPr="00BE536E">
              <w:rPr>
                <w:b/>
                <w:sz w:val="24"/>
                <w:szCs w:val="24"/>
              </w:rPr>
              <w:t>RUCBITRBBB3Y</w:t>
            </w:r>
          </w:p>
        </w:tc>
      </w:tr>
      <w:tr w:rsidR="00031F3C" w:rsidRPr="00BE536E" w14:paraId="1DE46AA4"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04BC6811" w14:textId="77777777" w:rsidR="00031F3C" w:rsidRPr="00BE536E" w:rsidRDefault="00031F3C" w:rsidP="00567222">
            <w:pPr>
              <w:spacing w:after="0" w:line="360" w:lineRule="auto"/>
              <w:jc w:val="center"/>
              <w:rPr>
                <w:sz w:val="24"/>
                <w:szCs w:val="24"/>
              </w:rPr>
            </w:pPr>
            <w:r w:rsidRPr="00BE536E">
              <w:rPr>
                <w:sz w:val="24"/>
                <w:szCs w:val="24"/>
              </w:rPr>
              <w:t>Ваа2</w:t>
            </w:r>
          </w:p>
        </w:tc>
        <w:tc>
          <w:tcPr>
            <w:tcW w:w="5191" w:type="dxa"/>
            <w:vMerge/>
            <w:tcBorders>
              <w:top w:val="single" w:sz="8" w:space="0" w:color="000000"/>
              <w:left w:val="single" w:sz="8" w:space="0" w:color="auto"/>
              <w:bottom w:val="single" w:sz="4" w:space="0" w:color="auto"/>
              <w:right w:val="single" w:sz="4" w:space="0" w:color="auto"/>
            </w:tcBorders>
            <w:vAlign w:val="center"/>
            <w:hideMark/>
          </w:tcPr>
          <w:p w14:paraId="4AF115F6" w14:textId="77777777" w:rsidR="00031F3C" w:rsidRPr="00BE536E" w:rsidRDefault="00031F3C" w:rsidP="00567222">
            <w:pPr>
              <w:spacing w:after="0"/>
              <w:rPr>
                <w:b/>
                <w:bCs/>
                <w:sz w:val="24"/>
                <w:szCs w:val="24"/>
              </w:rPr>
            </w:pPr>
          </w:p>
        </w:tc>
      </w:tr>
      <w:tr w:rsidR="00031F3C" w:rsidRPr="00BE536E" w14:paraId="2B906E84"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5EDBDB1C" w14:textId="77777777" w:rsidR="00031F3C" w:rsidRPr="00BE536E" w:rsidRDefault="00031F3C" w:rsidP="00567222">
            <w:pPr>
              <w:spacing w:after="0" w:line="360" w:lineRule="auto"/>
              <w:jc w:val="center"/>
              <w:rPr>
                <w:sz w:val="24"/>
                <w:szCs w:val="24"/>
              </w:rPr>
            </w:pPr>
            <w:r w:rsidRPr="00BE536E">
              <w:rPr>
                <w:sz w:val="24"/>
                <w:szCs w:val="24"/>
              </w:rPr>
              <w:t>Ваа3</w:t>
            </w:r>
          </w:p>
        </w:tc>
        <w:tc>
          <w:tcPr>
            <w:tcW w:w="5191" w:type="dxa"/>
            <w:vMerge/>
            <w:tcBorders>
              <w:top w:val="single" w:sz="8" w:space="0" w:color="000000"/>
              <w:left w:val="single" w:sz="8" w:space="0" w:color="auto"/>
              <w:bottom w:val="single" w:sz="4" w:space="0" w:color="auto"/>
              <w:right w:val="single" w:sz="4" w:space="0" w:color="auto"/>
            </w:tcBorders>
            <w:vAlign w:val="center"/>
            <w:hideMark/>
          </w:tcPr>
          <w:p w14:paraId="3371B097" w14:textId="77777777" w:rsidR="00031F3C" w:rsidRPr="00BE536E" w:rsidRDefault="00031F3C" w:rsidP="00567222">
            <w:pPr>
              <w:spacing w:after="0"/>
              <w:rPr>
                <w:b/>
                <w:bCs/>
                <w:sz w:val="24"/>
                <w:szCs w:val="24"/>
              </w:rPr>
            </w:pPr>
          </w:p>
        </w:tc>
      </w:tr>
      <w:tr w:rsidR="00031F3C" w:rsidRPr="00BE536E" w14:paraId="74445B6A"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5EEC99BD" w14:textId="77777777" w:rsidR="00031F3C" w:rsidRPr="00BE536E" w:rsidRDefault="00031F3C" w:rsidP="00567222">
            <w:pPr>
              <w:spacing w:after="0" w:line="360" w:lineRule="auto"/>
              <w:jc w:val="center"/>
              <w:rPr>
                <w:sz w:val="24"/>
                <w:szCs w:val="24"/>
              </w:rPr>
            </w:pPr>
            <w:r w:rsidRPr="00BE536E">
              <w:rPr>
                <w:sz w:val="24"/>
                <w:szCs w:val="24"/>
              </w:rPr>
              <w:t>Ва1</w:t>
            </w:r>
          </w:p>
        </w:tc>
        <w:tc>
          <w:tcPr>
            <w:tcW w:w="5191" w:type="dxa"/>
            <w:vMerge w:val="restart"/>
            <w:tcBorders>
              <w:top w:val="single" w:sz="4" w:space="0" w:color="auto"/>
              <w:left w:val="single" w:sz="8" w:space="0" w:color="auto"/>
              <w:bottom w:val="single" w:sz="8" w:space="0" w:color="000000"/>
              <w:right w:val="single" w:sz="4" w:space="0" w:color="auto"/>
            </w:tcBorders>
            <w:shd w:val="clear" w:color="auto" w:fill="DEEAF6"/>
            <w:vAlign w:val="center"/>
            <w:hideMark/>
          </w:tcPr>
          <w:p w14:paraId="35D2D50E" w14:textId="77777777" w:rsidR="00031F3C" w:rsidRPr="00BE536E" w:rsidRDefault="00031F3C" w:rsidP="00567222">
            <w:pPr>
              <w:spacing w:after="0" w:line="360" w:lineRule="auto"/>
              <w:jc w:val="center"/>
              <w:rPr>
                <w:b/>
                <w:bCs/>
                <w:sz w:val="24"/>
                <w:szCs w:val="24"/>
              </w:rPr>
            </w:pPr>
            <w:r w:rsidRPr="00BE536E">
              <w:rPr>
                <w:b/>
                <w:bCs/>
                <w:sz w:val="24"/>
                <w:szCs w:val="24"/>
              </w:rPr>
              <w:t>RUCBITRBB3Y</w:t>
            </w:r>
          </w:p>
        </w:tc>
      </w:tr>
      <w:tr w:rsidR="00031F3C" w:rsidRPr="00BE536E" w14:paraId="0F401B53"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7D73EFD5" w14:textId="77777777" w:rsidR="00031F3C" w:rsidRPr="00BE536E" w:rsidRDefault="00031F3C" w:rsidP="00567222">
            <w:pPr>
              <w:spacing w:after="0" w:line="360" w:lineRule="auto"/>
              <w:jc w:val="center"/>
              <w:rPr>
                <w:sz w:val="24"/>
                <w:szCs w:val="24"/>
              </w:rPr>
            </w:pPr>
            <w:r w:rsidRPr="00BE536E">
              <w:rPr>
                <w:sz w:val="24"/>
                <w:szCs w:val="24"/>
              </w:rPr>
              <w:t>Ва2</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63C4C82C" w14:textId="77777777" w:rsidR="00031F3C" w:rsidRPr="00BE536E" w:rsidRDefault="00031F3C" w:rsidP="00567222">
            <w:pPr>
              <w:spacing w:after="0"/>
              <w:rPr>
                <w:b/>
                <w:bCs/>
                <w:sz w:val="24"/>
                <w:szCs w:val="24"/>
              </w:rPr>
            </w:pPr>
          </w:p>
        </w:tc>
      </w:tr>
      <w:tr w:rsidR="00031F3C" w:rsidRPr="00BE536E" w14:paraId="2579D8C7"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vAlign w:val="center"/>
            <w:hideMark/>
          </w:tcPr>
          <w:p w14:paraId="296502BD" w14:textId="77777777" w:rsidR="00031F3C" w:rsidRPr="00BE536E" w:rsidRDefault="00031F3C" w:rsidP="00567222">
            <w:pPr>
              <w:spacing w:after="0" w:line="360" w:lineRule="auto"/>
              <w:jc w:val="center"/>
              <w:rPr>
                <w:sz w:val="24"/>
                <w:szCs w:val="24"/>
              </w:rPr>
            </w:pPr>
            <w:r w:rsidRPr="00BE536E">
              <w:rPr>
                <w:sz w:val="24"/>
                <w:szCs w:val="24"/>
              </w:rPr>
              <w:t>Ва3</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2326E05B" w14:textId="77777777" w:rsidR="00031F3C" w:rsidRPr="00BE536E" w:rsidRDefault="00031F3C" w:rsidP="00567222">
            <w:pPr>
              <w:spacing w:after="0"/>
              <w:rPr>
                <w:b/>
                <w:bCs/>
                <w:sz w:val="24"/>
                <w:szCs w:val="24"/>
              </w:rPr>
            </w:pPr>
          </w:p>
        </w:tc>
      </w:tr>
      <w:tr w:rsidR="00031F3C" w:rsidRPr="00BE536E" w14:paraId="6A4F00F0" w14:textId="77777777" w:rsidTr="00C819D7">
        <w:trPr>
          <w:trHeight w:val="159"/>
        </w:trPr>
        <w:tc>
          <w:tcPr>
            <w:tcW w:w="3524" w:type="dxa"/>
            <w:tcBorders>
              <w:top w:val="nil"/>
              <w:left w:val="single" w:sz="4" w:space="0" w:color="auto"/>
              <w:bottom w:val="single" w:sz="4" w:space="0" w:color="auto"/>
              <w:right w:val="single" w:sz="8" w:space="0" w:color="auto"/>
            </w:tcBorders>
            <w:shd w:val="clear" w:color="auto" w:fill="FBE4D5"/>
            <w:vAlign w:val="center"/>
            <w:hideMark/>
          </w:tcPr>
          <w:p w14:paraId="4E7E1C57" w14:textId="77777777" w:rsidR="00031F3C" w:rsidRPr="00BE536E" w:rsidRDefault="00031F3C" w:rsidP="00567222">
            <w:pPr>
              <w:spacing w:after="0" w:line="360" w:lineRule="auto"/>
              <w:jc w:val="center"/>
              <w:rPr>
                <w:sz w:val="24"/>
                <w:szCs w:val="24"/>
              </w:rPr>
            </w:pPr>
            <w:r w:rsidRPr="00BE536E">
              <w:rPr>
                <w:sz w:val="24"/>
                <w:szCs w:val="24"/>
              </w:rPr>
              <w:t>В1</w:t>
            </w:r>
          </w:p>
        </w:tc>
        <w:tc>
          <w:tcPr>
            <w:tcW w:w="5191" w:type="dxa"/>
            <w:vMerge w:val="restart"/>
            <w:tcBorders>
              <w:top w:val="nil"/>
              <w:left w:val="single" w:sz="8" w:space="0" w:color="auto"/>
              <w:bottom w:val="single" w:sz="4" w:space="0" w:color="auto"/>
              <w:right w:val="single" w:sz="4" w:space="0" w:color="auto"/>
            </w:tcBorders>
            <w:shd w:val="clear" w:color="auto" w:fill="FBE4D5"/>
            <w:vAlign w:val="center"/>
            <w:hideMark/>
          </w:tcPr>
          <w:p w14:paraId="57120B79" w14:textId="77777777" w:rsidR="00031F3C" w:rsidRPr="00BE536E" w:rsidRDefault="00031F3C" w:rsidP="00567222">
            <w:pPr>
              <w:spacing w:after="0" w:line="360" w:lineRule="auto"/>
              <w:jc w:val="center"/>
              <w:rPr>
                <w:b/>
                <w:bCs/>
                <w:sz w:val="24"/>
                <w:szCs w:val="24"/>
              </w:rPr>
            </w:pPr>
            <w:r w:rsidRPr="00BE536E">
              <w:rPr>
                <w:b/>
                <w:sz w:val="24"/>
                <w:szCs w:val="24"/>
              </w:rPr>
              <w:t>RUCBITRB3Y</w:t>
            </w:r>
          </w:p>
        </w:tc>
      </w:tr>
      <w:tr w:rsidR="00031F3C" w:rsidRPr="00BE536E" w14:paraId="723D3249" w14:textId="77777777" w:rsidTr="00C819D7">
        <w:trPr>
          <w:trHeight w:val="159"/>
        </w:trPr>
        <w:tc>
          <w:tcPr>
            <w:tcW w:w="3524" w:type="dxa"/>
            <w:tcBorders>
              <w:top w:val="single" w:sz="4" w:space="0" w:color="auto"/>
              <w:left w:val="single" w:sz="4" w:space="0" w:color="auto"/>
              <w:bottom w:val="single" w:sz="8" w:space="0" w:color="auto"/>
              <w:right w:val="single" w:sz="8" w:space="0" w:color="auto"/>
            </w:tcBorders>
            <w:shd w:val="clear" w:color="auto" w:fill="FBE4D5"/>
            <w:vAlign w:val="center"/>
            <w:hideMark/>
          </w:tcPr>
          <w:p w14:paraId="73E3EB2C" w14:textId="77777777" w:rsidR="00031F3C" w:rsidRPr="00BE536E" w:rsidRDefault="00031F3C" w:rsidP="00567222">
            <w:pPr>
              <w:spacing w:after="0" w:line="360" w:lineRule="auto"/>
              <w:jc w:val="center"/>
              <w:rPr>
                <w:sz w:val="24"/>
                <w:szCs w:val="24"/>
              </w:rPr>
            </w:pPr>
            <w:r w:rsidRPr="00BE536E">
              <w:rPr>
                <w:sz w:val="24"/>
                <w:szCs w:val="24"/>
              </w:rPr>
              <w:t>В2</w:t>
            </w:r>
          </w:p>
        </w:tc>
        <w:tc>
          <w:tcPr>
            <w:tcW w:w="5191" w:type="dxa"/>
            <w:vMerge/>
            <w:tcBorders>
              <w:top w:val="nil"/>
              <w:left w:val="single" w:sz="8" w:space="0" w:color="auto"/>
              <w:bottom w:val="single" w:sz="4" w:space="0" w:color="auto"/>
              <w:right w:val="single" w:sz="4" w:space="0" w:color="auto"/>
            </w:tcBorders>
            <w:vAlign w:val="center"/>
            <w:hideMark/>
          </w:tcPr>
          <w:p w14:paraId="09C1FE15" w14:textId="77777777" w:rsidR="00031F3C" w:rsidRPr="00BE536E" w:rsidRDefault="00031F3C" w:rsidP="00567222">
            <w:pPr>
              <w:spacing w:after="0"/>
              <w:rPr>
                <w:b/>
                <w:bCs/>
                <w:sz w:val="24"/>
                <w:szCs w:val="24"/>
              </w:rPr>
            </w:pPr>
          </w:p>
        </w:tc>
      </w:tr>
      <w:tr w:rsidR="00031F3C" w:rsidRPr="00BE536E" w14:paraId="0542E2C8" w14:textId="77777777" w:rsidTr="00C819D7">
        <w:trPr>
          <w:trHeight w:val="159"/>
        </w:trPr>
        <w:tc>
          <w:tcPr>
            <w:tcW w:w="3524" w:type="dxa"/>
            <w:tcBorders>
              <w:top w:val="nil"/>
              <w:left w:val="single" w:sz="4" w:space="0" w:color="auto"/>
              <w:bottom w:val="single" w:sz="4" w:space="0" w:color="auto"/>
              <w:right w:val="single" w:sz="8" w:space="0" w:color="auto"/>
            </w:tcBorders>
            <w:shd w:val="clear" w:color="auto" w:fill="FBE4D5"/>
            <w:vAlign w:val="center"/>
            <w:hideMark/>
          </w:tcPr>
          <w:p w14:paraId="30BEFF60" w14:textId="77777777" w:rsidR="00031F3C" w:rsidRPr="00BE536E" w:rsidRDefault="00031F3C" w:rsidP="00567222">
            <w:pPr>
              <w:spacing w:after="0" w:line="360" w:lineRule="auto"/>
              <w:jc w:val="center"/>
              <w:rPr>
                <w:sz w:val="24"/>
                <w:szCs w:val="24"/>
              </w:rPr>
            </w:pPr>
            <w:r w:rsidRPr="00BE536E">
              <w:rPr>
                <w:sz w:val="24"/>
                <w:szCs w:val="24"/>
              </w:rPr>
              <w:t>B3</w:t>
            </w:r>
          </w:p>
        </w:tc>
        <w:tc>
          <w:tcPr>
            <w:tcW w:w="5191" w:type="dxa"/>
            <w:vMerge/>
            <w:tcBorders>
              <w:top w:val="nil"/>
              <w:left w:val="single" w:sz="8" w:space="0" w:color="auto"/>
              <w:bottom w:val="single" w:sz="4" w:space="0" w:color="auto"/>
              <w:right w:val="single" w:sz="4" w:space="0" w:color="auto"/>
            </w:tcBorders>
            <w:vAlign w:val="center"/>
            <w:hideMark/>
          </w:tcPr>
          <w:p w14:paraId="2A57CC3C" w14:textId="77777777" w:rsidR="00031F3C" w:rsidRPr="00BE536E" w:rsidRDefault="00031F3C" w:rsidP="00567222">
            <w:pPr>
              <w:spacing w:after="0"/>
              <w:rPr>
                <w:b/>
                <w:bCs/>
                <w:sz w:val="24"/>
                <w:szCs w:val="24"/>
              </w:rPr>
            </w:pPr>
          </w:p>
        </w:tc>
      </w:tr>
    </w:tbl>
    <w:p w14:paraId="7202C2FB" w14:textId="77777777" w:rsidR="00031F3C" w:rsidRPr="00BE536E" w:rsidRDefault="00031F3C" w:rsidP="00031F3C">
      <w:pPr>
        <w:spacing w:line="360" w:lineRule="auto"/>
        <w:ind w:firstLine="709"/>
        <w:rPr>
          <w:sz w:val="24"/>
          <w:szCs w:val="24"/>
        </w:rPr>
      </w:pPr>
    </w:p>
    <w:p w14:paraId="6EFF1D74" w14:textId="77777777" w:rsidR="00031F3C" w:rsidRPr="00BE536E" w:rsidRDefault="00031F3C" w:rsidP="00567222">
      <w:pPr>
        <w:spacing w:after="0" w:line="360" w:lineRule="auto"/>
        <w:ind w:firstLine="709"/>
        <w:jc w:val="both"/>
      </w:pPr>
      <w:r w:rsidRPr="00BE536E">
        <w:t>Вероятность дефолта для отобранного рейтинга определяется на основании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rating» с 1983 года на горизонте 1 год;</w:t>
      </w:r>
    </w:p>
    <w:p w14:paraId="4C19D829" w14:textId="77777777" w:rsidR="00031F3C" w:rsidRPr="00BE536E" w:rsidRDefault="00031F3C" w:rsidP="00567222">
      <w:pPr>
        <w:spacing w:after="0" w:line="360" w:lineRule="auto"/>
        <w:ind w:firstLine="709"/>
        <w:jc w:val="both"/>
      </w:pPr>
      <w:r w:rsidRPr="00BE536E">
        <w:t xml:space="preserve">Из группы рейтингов, выбирается </w:t>
      </w:r>
      <w:r w:rsidRPr="00BE536E">
        <w:rPr>
          <w:lang w:val="en-US"/>
        </w:rPr>
        <w:t>PD</w:t>
      </w:r>
      <w:r w:rsidRPr="00BE536E">
        <w:t xml:space="preserve"> для среднего значения рейтинга группы (</w:t>
      </w:r>
      <w:r w:rsidRPr="00BE536E">
        <w:rPr>
          <w:lang w:val="en-US"/>
        </w:rPr>
        <w:t>Baa</w:t>
      </w:r>
      <w:r w:rsidRPr="00BE536E">
        <w:t xml:space="preserve">2, </w:t>
      </w:r>
      <w:r w:rsidRPr="00BE536E">
        <w:rPr>
          <w:lang w:val="en-US"/>
        </w:rPr>
        <w:t>Ba</w:t>
      </w:r>
      <w:r w:rsidRPr="00BE536E">
        <w:t xml:space="preserve">2, </w:t>
      </w:r>
      <w:r w:rsidRPr="00BE536E">
        <w:rPr>
          <w:lang w:val="en-US"/>
        </w:rPr>
        <w:t>B</w:t>
      </w:r>
      <w:r w:rsidRPr="00BE536E">
        <w:t>2).</w:t>
      </w:r>
    </w:p>
    <w:p w14:paraId="168681D3" w14:textId="77777777" w:rsidR="00031F3C" w:rsidRPr="00BE536E" w:rsidRDefault="00031F3C" w:rsidP="00567222">
      <w:pPr>
        <w:tabs>
          <w:tab w:val="left" w:pos="993"/>
        </w:tabs>
        <w:spacing w:line="360" w:lineRule="auto"/>
        <w:ind w:firstLine="992"/>
        <w:jc w:val="both"/>
        <w:rPr>
          <w:rFonts w:eastAsia="Batang"/>
          <w:i/>
        </w:rPr>
      </w:pPr>
      <w:r w:rsidRPr="00BE536E">
        <w:rPr>
          <w:rFonts w:eastAsia="Batang"/>
          <w:i/>
        </w:rPr>
        <w:t>Информация об ценных бумагах, используемых для целей расчета кредитного спреда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412F48D4" w14:textId="77777777" w:rsidR="00031F3C" w:rsidRPr="00BE536E" w:rsidRDefault="00031F3C" w:rsidP="00031F3C">
      <w:pPr>
        <w:spacing w:line="360" w:lineRule="auto"/>
        <w:rPr>
          <w:sz w:val="24"/>
          <w:szCs w:val="24"/>
        </w:rPr>
      </w:pPr>
      <w:r w:rsidRPr="00BE536E">
        <w:rPr>
          <w:sz w:val="24"/>
          <w:szCs w:val="24"/>
        </w:rPr>
        <w:br w:type="textWrapping" w:clear="all"/>
      </w:r>
    </w:p>
    <w:p w14:paraId="4E09CA4D" w14:textId="77777777" w:rsidR="00031F3C" w:rsidRPr="00BE536E" w:rsidRDefault="00031F3C" w:rsidP="00031F3C">
      <w:pPr>
        <w:jc w:val="right"/>
        <w:rPr>
          <w:b/>
          <w:sz w:val="24"/>
          <w:szCs w:val="24"/>
        </w:rPr>
      </w:pPr>
      <w:r w:rsidRPr="00BE536E">
        <w:rPr>
          <w:sz w:val="24"/>
          <w:szCs w:val="24"/>
        </w:rPr>
        <w:br w:type="page"/>
      </w:r>
      <w:r w:rsidRPr="00BE536E">
        <w:rPr>
          <w:b/>
          <w:sz w:val="24"/>
          <w:szCs w:val="24"/>
        </w:rPr>
        <w:lastRenderedPageBreak/>
        <w:t>Приложение Г</w:t>
      </w:r>
    </w:p>
    <w:p w14:paraId="68A2CB47" w14:textId="77777777" w:rsidR="00031F3C" w:rsidRPr="00BE536E" w:rsidRDefault="00031F3C" w:rsidP="00031F3C">
      <w:pPr>
        <w:spacing w:line="360" w:lineRule="auto"/>
        <w:rPr>
          <w:b/>
          <w:sz w:val="24"/>
          <w:szCs w:val="24"/>
        </w:rPr>
      </w:pPr>
    </w:p>
    <w:p w14:paraId="485D64CB" w14:textId="77777777" w:rsidR="00031F3C" w:rsidRPr="00BE536E" w:rsidRDefault="00031F3C" w:rsidP="00031F3C">
      <w:pPr>
        <w:spacing w:line="360" w:lineRule="auto"/>
        <w:jc w:val="center"/>
        <w:rPr>
          <w:b/>
          <w:sz w:val="24"/>
          <w:szCs w:val="24"/>
        </w:rPr>
      </w:pPr>
      <w:r w:rsidRPr="00BE536E">
        <w:rPr>
          <w:b/>
          <w:sz w:val="24"/>
          <w:szCs w:val="24"/>
        </w:rPr>
        <w:t>Вероятности дефолта для организаций МСБ</w:t>
      </w:r>
    </w:p>
    <w:p w14:paraId="41F09F34" w14:textId="77777777" w:rsidR="00031F3C" w:rsidRPr="00BE536E" w:rsidRDefault="00031F3C" w:rsidP="00031F3C">
      <w:pPr>
        <w:spacing w:line="360" w:lineRule="auto"/>
        <w:rPr>
          <w:b/>
          <w:sz w:val="24"/>
          <w:szCs w:val="24"/>
        </w:rPr>
      </w:pPr>
    </w:p>
    <w:p w14:paraId="47187777" w14:textId="77777777" w:rsidR="00031F3C" w:rsidRPr="00BE536E" w:rsidRDefault="00031F3C" w:rsidP="00031F3C">
      <w:pPr>
        <w:spacing w:after="60"/>
        <w:ind w:left="1440"/>
        <w:jc w:val="center"/>
        <w:rPr>
          <w:b/>
          <w:sz w:val="24"/>
          <w:szCs w:val="24"/>
        </w:rPr>
      </w:pPr>
      <w:r w:rsidRPr="00BE536E">
        <w:rPr>
          <w:b/>
          <w:sz w:val="24"/>
          <w:szCs w:val="24"/>
        </w:rPr>
        <w:t>Для российских компаний</w:t>
      </w:r>
    </w:p>
    <w:tbl>
      <w:tblPr>
        <w:tblW w:w="7509" w:type="dxa"/>
        <w:jc w:val="center"/>
        <w:tblLook w:val="04A0" w:firstRow="1" w:lastRow="0" w:firstColumn="1" w:lastColumn="0" w:noHBand="0" w:noVBand="1"/>
      </w:tblPr>
      <w:tblGrid>
        <w:gridCol w:w="3676"/>
        <w:gridCol w:w="2949"/>
        <w:gridCol w:w="884"/>
      </w:tblGrid>
      <w:tr w:rsidR="00031F3C" w:rsidRPr="00BE536E" w14:paraId="49CDE6DB" w14:textId="77777777" w:rsidTr="00C819D7">
        <w:trPr>
          <w:trHeight w:val="631"/>
          <w:jc w:val="center"/>
        </w:trPr>
        <w:tc>
          <w:tcPr>
            <w:tcW w:w="3676" w:type="dxa"/>
            <w:tcBorders>
              <w:top w:val="single" w:sz="4" w:space="0" w:color="auto"/>
              <w:left w:val="single" w:sz="4" w:space="0" w:color="auto"/>
              <w:bottom w:val="single" w:sz="4" w:space="0" w:color="auto"/>
              <w:right w:val="single" w:sz="4" w:space="0" w:color="auto"/>
            </w:tcBorders>
          </w:tcPr>
          <w:p w14:paraId="10ABE773" w14:textId="77777777" w:rsidR="00031F3C" w:rsidRPr="00BE536E" w:rsidRDefault="00031F3C" w:rsidP="00567222">
            <w:pPr>
              <w:spacing w:after="0"/>
              <w:jc w:val="center"/>
              <w:rPr>
                <w:b/>
                <w:sz w:val="24"/>
                <w:szCs w:val="24"/>
              </w:rPr>
            </w:pPr>
            <w:r w:rsidRPr="00BE536E">
              <w:rPr>
                <w:b/>
                <w:sz w:val="24"/>
                <w:szCs w:val="24"/>
              </w:rPr>
              <w:t>Код отрасли по ОКВЭД</w:t>
            </w:r>
          </w:p>
        </w:tc>
        <w:tc>
          <w:tcPr>
            <w:tcW w:w="2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DAEABD" w14:textId="77777777" w:rsidR="00031F3C" w:rsidRPr="00BE536E" w:rsidRDefault="00031F3C" w:rsidP="00567222">
            <w:pPr>
              <w:spacing w:after="0"/>
              <w:jc w:val="center"/>
              <w:rPr>
                <w:b/>
                <w:sz w:val="24"/>
                <w:szCs w:val="24"/>
              </w:rPr>
            </w:pPr>
            <w:r w:rsidRPr="00BE536E">
              <w:rPr>
                <w:b/>
                <w:sz w:val="24"/>
                <w:szCs w:val="24"/>
              </w:rPr>
              <w:t>Степень риска</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426C24D5" w14:textId="77777777" w:rsidR="00031F3C" w:rsidRPr="00BE536E" w:rsidRDefault="00031F3C" w:rsidP="00567222">
            <w:pPr>
              <w:spacing w:after="0"/>
              <w:jc w:val="center"/>
              <w:rPr>
                <w:b/>
                <w:sz w:val="24"/>
                <w:szCs w:val="24"/>
              </w:rPr>
            </w:pPr>
            <w:r w:rsidRPr="00BE536E">
              <w:rPr>
                <w:b/>
                <w:sz w:val="24"/>
                <w:szCs w:val="24"/>
                <w:lang w:val="en-US"/>
              </w:rPr>
              <w:t>PD</w:t>
            </w:r>
          </w:p>
        </w:tc>
      </w:tr>
      <w:tr w:rsidR="0088448E" w:rsidRPr="00BE536E" w14:paraId="6D242A71" w14:textId="77777777" w:rsidTr="00C819D7">
        <w:trPr>
          <w:trHeight w:val="315"/>
          <w:jc w:val="center"/>
        </w:trPr>
        <w:tc>
          <w:tcPr>
            <w:tcW w:w="3676" w:type="dxa"/>
            <w:tcBorders>
              <w:top w:val="nil"/>
              <w:left w:val="single" w:sz="4" w:space="0" w:color="auto"/>
              <w:bottom w:val="single" w:sz="4" w:space="0" w:color="auto"/>
              <w:right w:val="single" w:sz="4" w:space="0" w:color="auto"/>
            </w:tcBorders>
            <w:vAlign w:val="center"/>
          </w:tcPr>
          <w:p w14:paraId="7B1E337A" w14:textId="77777777" w:rsidR="0088448E" w:rsidRPr="00BE536E" w:rsidRDefault="0088448E" w:rsidP="00567222">
            <w:pPr>
              <w:spacing w:after="0"/>
              <w:jc w:val="center"/>
              <w:rPr>
                <w:sz w:val="24"/>
                <w:szCs w:val="24"/>
              </w:rPr>
            </w:pPr>
            <w:r w:rsidRPr="00BE536E">
              <w:rPr>
                <w:sz w:val="24"/>
                <w:szCs w:val="24"/>
              </w:rPr>
              <w:t xml:space="preserve">1, 5, 6, 7, 12, 14, 18, 19, 20, 21, 22, 25, 26, 28, 29, 30, 32, 33, 35, 36, </w:t>
            </w:r>
            <w:r w:rsidRPr="00BE536E">
              <w:rPr>
                <w:sz w:val="24"/>
                <w:szCs w:val="24"/>
                <w:lang w:val="en-US"/>
              </w:rPr>
              <w:t>38</w:t>
            </w:r>
            <w:r w:rsidRPr="00BE536E">
              <w:rPr>
                <w:sz w:val="24"/>
                <w:szCs w:val="24"/>
              </w:rPr>
              <w:t>, 39, 50, 58, 60, 61, 62, 63, 68, 72, 73, 74, 75, 80, 81, 82, 84, 85, 86, 87, 90, 91, 92, 94, 95, 96, 97</w:t>
            </w:r>
          </w:p>
        </w:tc>
        <w:tc>
          <w:tcPr>
            <w:tcW w:w="2949" w:type="dxa"/>
            <w:tcBorders>
              <w:top w:val="nil"/>
              <w:left w:val="single" w:sz="4" w:space="0" w:color="auto"/>
              <w:bottom w:val="single" w:sz="4" w:space="0" w:color="auto"/>
              <w:right w:val="single" w:sz="4" w:space="0" w:color="auto"/>
            </w:tcBorders>
            <w:shd w:val="clear" w:color="auto" w:fill="auto"/>
            <w:vAlign w:val="center"/>
            <w:hideMark/>
          </w:tcPr>
          <w:p w14:paraId="50A9B9F1" w14:textId="77777777" w:rsidR="0088448E" w:rsidRPr="00BE536E" w:rsidRDefault="0088448E" w:rsidP="00567222">
            <w:pPr>
              <w:spacing w:after="0"/>
              <w:jc w:val="center"/>
              <w:rPr>
                <w:sz w:val="24"/>
                <w:szCs w:val="24"/>
              </w:rPr>
            </w:pPr>
            <w:r w:rsidRPr="00BE536E">
              <w:rPr>
                <w:sz w:val="24"/>
                <w:szCs w:val="24"/>
              </w:rPr>
              <w:t>Низкий риск</w:t>
            </w:r>
          </w:p>
        </w:tc>
        <w:tc>
          <w:tcPr>
            <w:tcW w:w="884" w:type="dxa"/>
            <w:tcBorders>
              <w:top w:val="nil"/>
              <w:left w:val="nil"/>
              <w:bottom w:val="single" w:sz="4" w:space="0" w:color="auto"/>
              <w:right w:val="single" w:sz="4" w:space="0" w:color="auto"/>
            </w:tcBorders>
            <w:shd w:val="clear" w:color="auto" w:fill="auto"/>
            <w:vAlign w:val="center"/>
            <w:hideMark/>
          </w:tcPr>
          <w:p w14:paraId="1A4F3EAD" w14:textId="77777777" w:rsidR="0088448E" w:rsidRPr="00BE536E" w:rsidRDefault="0088448E" w:rsidP="00567222">
            <w:pPr>
              <w:spacing w:after="0"/>
              <w:jc w:val="center"/>
              <w:rPr>
                <w:sz w:val="24"/>
                <w:szCs w:val="24"/>
              </w:rPr>
            </w:pPr>
            <w:r w:rsidRPr="00BE536E">
              <w:rPr>
                <w:sz w:val="24"/>
                <w:szCs w:val="24"/>
              </w:rPr>
              <w:t>0.05</w:t>
            </w:r>
          </w:p>
        </w:tc>
      </w:tr>
      <w:tr w:rsidR="0088448E" w:rsidRPr="00BE536E" w14:paraId="5CF7ACA5" w14:textId="77777777" w:rsidTr="00C819D7">
        <w:trPr>
          <w:trHeight w:val="315"/>
          <w:jc w:val="center"/>
        </w:trPr>
        <w:tc>
          <w:tcPr>
            <w:tcW w:w="3676" w:type="dxa"/>
            <w:tcBorders>
              <w:top w:val="nil"/>
              <w:left w:val="single" w:sz="4" w:space="0" w:color="auto"/>
              <w:bottom w:val="single" w:sz="4" w:space="0" w:color="auto"/>
              <w:right w:val="single" w:sz="4" w:space="0" w:color="auto"/>
            </w:tcBorders>
          </w:tcPr>
          <w:p w14:paraId="1F7D28B7" w14:textId="77777777" w:rsidR="0088448E" w:rsidRPr="00BE536E" w:rsidRDefault="0088448E" w:rsidP="00567222">
            <w:pPr>
              <w:spacing w:after="0"/>
              <w:rPr>
                <w:sz w:val="24"/>
                <w:szCs w:val="24"/>
              </w:rPr>
            </w:pPr>
            <w:r w:rsidRPr="00BE536E">
              <w:rPr>
                <w:sz w:val="24"/>
                <w:szCs w:val="24"/>
              </w:rPr>
              <w:t>13</w:t>
            </w:r>
            <w:r w:rsidRPr="00BE536E">
              <w:rPr>
                <w:sz w:val="24"/>
                <w:szCs w:val="24"/>
                <w:lang w:val="en-US"/>
              </w:rPr>
              <w:t xml:space="preserve">, </w:t>
            </w:r>
            <w:r w:rsidRPr="00BE536E">
              <w:rPr>
                <w:sz w:val="24"/>
                <w:szCs w:val="24"/>
              </w:rPr>
              <w:t>24</w:t>
            </w:r>
            <w:r w:rsidRPr="00BE536E">
              <w:rPr>
                <w:sz w:val="24"/>
                <w:szCs w:val="24"/>
                <w:lang w:val="en-US"/>
              </w:rPr>
              <w:t xml:space="preserve">, </w:t>
            </w:r>
            <w:r w:rsidRPr="00BE536E">
              <w:rPr>
                <w:sz w:val="24"/>
                <w:szCs w:val="24"/>
              </w:rPr>
              <w:t>27</w:t>
            </w:r>
            <w:r w:rsidRPr="00BE536E">
              <w:rPr>
                <w:sz w:val="24"/>
                <w:szCs w:val="24"/>
                <w:lang w:val="en-US"/>
              </w:rPr>
              <w:t xml:space="preserve">, </w:t>
            </w:r>
            <w:r w:rsidRPr="00BE536E">
              <w:rPr>
                <w:sz w:val="24"/>
                <w:szCs w:val="24"/>
              </w:rPr>
              <w:t>42</w:t>
            </w:r>
            <w:r w:rsidRPr="00BE536E">
              <w:rPr>
                <w:sz w:val="24"/>
                <w:szCs w:val="24"/>
                <w:lang w:val="en-US"/>
              </w:rPr>
              <w:t xml:space="preserve">, </w:t>
            </w:r>
            <w:r w:rsidRPr="00BE536E">
              <w:rPr>
                <w:sz w:val="24"/>
                <w:szCs w:val="24"/>
              </w:rPr>
              <w:t>45</w:t>
            </w:r>
            <w:r w:rsidRPr="00BE536E">
              <w:rPr>
                <w:sz w:val="24"/>
                <w:szCs w:val="24"/>
                <w:lang w:val="en-US"/>
              </w:rPr>
              <w:t xml:space="preserve">, </w:t>
            </w:r>
            <w:r w:rsidRPr="00BE536E">
              <w:rPr>
                <w:sz w:val="24"/>
                <w:szCs w:val="24"/>
              </w:rPr>
              <w:t>46</w:t>
            </w:r>
            <w:r w:rsidRPr="00BE536E">
              <w:rPr>
                <w:sz w:val="24"/>
                <w:szCs w:val="24"/>
                <w:lang w:val="en-US"/>
              </w:rPr>
              <w:t xml:space="preserve">, </w:t>
            </w:r>
            <w:r w:rsidRPr="00BE536E">
              <w:rPr>
                <w:sz w:val="24"/>
                <w:szCs w:val="24"/>
              </w:rPr>
              <w:t>52</w:t>
            </w:r>
            <w:r w:rsidRPr="00BE536E">
              <w:rPr>
                <w:sz w:val="24"/>
                <w:szCs w:val="24"/>
                <w:lang w:val="en-US"/>
              </w:rPr>
              <w:t xml:space="preserve">, </w:t>
            </w:r>
            <w:r w:rsidRPr="00BE536E">
              <w:rPr>
                <w:sz w:val="24"/>
                <w:szCs w:val="24"/>
              </w:rPr>
              <w:t>59</w:t>
            </w:r>
            <w:r w:rsidRPr="00BE536E">
              <w:rPr>
                <w:sz w:val="24"/>
                <w:szCs w:val="24"/>
                <w:lang w:val="en-US"/>
              </w:rPr>
              <w:t xml:space="preserve">, </w:t>
            </w:r>
            <w:r w:rsidRPr="00BE536E">
              <w:rPr>
                <w:sz w:val="24"/>
                <w:szCs w:val="24"/>
              </w:rPr>
              <w:t>69</w:t>
            </w:r>
            <w:r w:rsidRPr="00BE536E">
              <w:rPr>
                <w:sz w:val="24"/>
                <w:szCs w:val="24"/>
                <w:lang w:val="en-US"/>
              </w:rPr>
              <w:t xml:space="preserve">, </w:t>
            </w:r>
            <w:r w:rsidRPr="00BE536E">
              <w:rPr>
                <w:sz w:val="24"/>
                <w:szCs w:val="24"/>
              </w:rPr>
              <w:t>71</w:t>
            </w:r>
            <w:r w:rsidRPr="00BE536E">
              <w:rPr>
                <w:sz w:val="24"/>
                <w:szCs w:val="24"/>
                <w:lang w:val="en-US"/>
              </w:rPr>
              <w:t xml:space="preserve">, </w:t>
            </w:r>
            <w:r w:rsidRPr="00BE536E">
              <w:rPr>
                <w:sz w:val="24"/>
                <w:szCs w:val="24"/>
              </w:rPr>
              <w:t>79</w:t>
            </w:r>
            <w:r w:rsidRPr="00BE536E">
              <w:rPr>
                <w:sz w:val="24"/>
                <w:szCs w:val="24"/>
                <w:lang w:val="en-US"/>
              </w:rPr>
              <w:t xml:space="preserve">, </w:t>
            </w:r>
            <w:r w:rsidRPr="00BE536E">
              <w:rPr>
                <w:sz w:val="24"/>
                <w:szCs w:val="24"/>
              </w:rPr>
              <w:t>88</w:t>
            </w:r>
          </w:p>
        </w:tc>
        <w:tc>
          <w:tcPr>
            <w:tcW w:w="2949" w:type="dxa"/>
            <w:tcBorders>
              <w:top w:val="nil"/>
              <w:left w:val="single" w:sz="4" w:space="0" w:color="auto"/>
              <w:bottom w:val="single" w:sz="4" w:space="0" w:color="auto"/>
              <w:right w:val="single" w:sz="4" w:space="0" w:color="auto"/>
            </w:tcBorders>
            <w:shd w:val="clear" w:color="auto" w:fill="auto"/>
            <w:vAlign w:val="center"/>
            <w:hideMark/>
          </w:tcPr>
          <w:p w14:paraId="1F8FAB1B" w14:textId="77777777" w:rsidR="0088448E" w:rsidRPr="00BE536E" w:rsidRDefault="0088448E" w:rsidP="00567222">
            <w:pPr>
              <w:spacing w:after="0"/>
              <w:jc w:val="center"/>
              <w:rPr>
                <w:sz w:val="24"/>
                <w:szCs w:val="24"/>
              </w:rPr>
            </w:pPr>
            <w:r w:rsidRPr="00BE536E">
              <w:rPr>
                <w:sz w:val="24"/>
                <w:szCs w:val="24"/>
              </w:rPr>
              <w:t>Средний риск</w:t>
            </w:r>
          </w:p>
        </w:tc>
        <w:tc>
          <w:tcPr>
            <w:tcW w:w="884" w:type="dxa"/>
            <w:tcBorders>
              <w:top w:val="nil"/>
              <w:left w:val="nil"/>
              <w:bottom w:val="single" w:sz="4" w:space="0" w:color="auto"/>
              <w:right w:val="single" w:sz="4" w:space="0" w:color="auto"/>
            </w:tcBorders>
            <w:shd w:val="clear" w:color="auto" w:fill="auto"/>
            <w:vAlign w:val="center"/>
            <w:hideMark/>
          </w:tcPr>
          <w:p w14:paraId="65A3EE3E" w14:textId="77777777" w:rsidR="0088448E" w:rsidRPr="00BE536E" w:rsidRDefault="0088448E" w:rsidP="00567222">
            <w:pPr>
              <w:spacing w:after="0"/>
              <w:jc w:val="center"/>
              <w:rPr>
                <w:sz w:val="24"/>
                <w:szCs w:val="24"/>
              </w:rPr>
            </w:pPr>
            <w:r w:rsidRPr="00BE536E">
              <w:rPr>
                <w:sz w:val="24"/>
                <w:szCs w:val="24"/>
              </w:rPr>
              <w:t>0.065</w:t>
            </w:r>
          </w:p>
        </w:tc>
      </w:tr>
      <w:tr w:rsidR="0088448E" w:rsidRPr="00BE536E" w14:paraId="290205A9" w14:textId="77777777" w:rsidTr="00C819D7">
        <w:trPr>
          <w:trHeight w:val="315"/>
          <w:jc w:val="center"/>
        </w:trPr>
        <w:tc>
          <w:tcPr>
            <w:tcW w:w="3676" w:type="dxa"/>
            <w:tcBorders>
              <w:top w:val="nil"/>
              <w:left w:val="single" w:sz="4" w:space="0" w:color="auto"/>
              <w:bottom w:val="single" w:sz="4" w:space="0" w:color="auto"/>
              <w:right w:val="single" w:sz="4" w:space="0" w:color="auto"/>
            </w:tcBorders>
          </w:tcPr>
          <w:p w14:paraId="24A713E7" w14:textId="77777777" w:rsidR="0088448E" w:rsidRPr="00BE536E" w:rsidRDefault="0088448E" w:rsidP="00567222">
            <w:pPr>
              <w:spacing w:after="0"/>
              <w:rPr>
                <w:sz w:val="24"/>
                <w:szCs w:val="24"/>
              </w:rPr>
            </w:pPr>
            <w:r w:rsidRPr="00BE536E">
              <w:rPr>
                <w:sz w:val="24"/>
                <w:szCs w:val="24"/>
              </w:rPr>
              <w:t>2</w:t>
            </w:r>
            <w:r w:rsidRPr="00BE536E">
              <w:rPr>
                <w:sz w:val="24"/>
                <w:szCs w:val="24"/>
                <w:lang w:val="en-US"/>
              </w:rPr>
              <w:t xml:space="preserve">, </w:t>
            </w:r>
            <w:r w:rsidRPr="00BE536E">
              <w:rPr>
                <w:sz w:val="24"/>
                <w:szCs w:val="24"/>
              </w:rPr>
              <w:t>3</w:t>
            </w:r>
            <w:r w:rsidRPr="00BE536E">
              <w:rPr>
                <w:sz w:val="24"/>
                <w:szCs w:val="24"/>
                <w:lang w:val="en-US"/>
              </w:rPr>
              <w:t xml:space="preserve">, </w:t>
            </w:r>
            <w:r w:rsidRPr="00BE536E">
              <w:rPr>
                <w:sz w:val="24"/>
                <w:szCs w:val="24"/>
              </w:rPr>
              <w:t>8</w:t>
            </w:r>
            <w:r w:rsidRPr="00BE536E">
              <w:rPr>
                <w:sz w:val="24"/>
                <w:szCs w:val="24"/>
                <w:lang w:val="en-US"/>
              </w:rPr>
              <w:t xml:space="preserve">, </w:t>
            </w:r>
            <w:r w:rsidRPr="00BE536E">
              <w:rPr>
                <w:sz w:val="24"/>
                <w:szCs w:val="24"/>
              </w:rPr>
              <w:t>9</w:t>
            </w:r>
            <w:r w:rsidRPr="00BE536E">
              <w:rPr>
                <w:sz w:val="24"/>
                <w:szCs w:val="24"/>
                <w:lang w:val="en-US"/>
              </w:rPr>
              <w:t xml:space="preserve">, </w:t>
            </w:r>
            <w:r w:rsidRPr="00BE536E">
              <w:rPr>
                <w:sz w:val="24"/>
                <w:szCs w:val="24"/>
              </w:rPr>
              <w:t>10</w:t>
            </w:r>
            <w:r w:rsidRPr="00BE536E">
              <w:rPr>
                <w:sz w:val="24"/>
                <w:szCs w:val="24"/>
                <w:lang w:val="en-US"/>
              </w:rPr>
              <w:t xml:space="preserve">, </w:t>
            </w:r>
            <w:r w:rsidRPr="00BE536E">
              <w:rPr>
                <w:sz w:val="24"/>
                <w:szCs w:val="24"/>
              </w:rPr>
              <w:t>11</w:t>
            </w:r>
            <w:r w:rsidRPr="00BE536E">
              <w:rPr>
                <w:sz w:val="24"/>
                <w:szCs w:val="24"/>
                <w:lang w:val="en-US"/>
              </w:rPr>
              <w:t xml:space="preserve">, </w:t>
            </w:r>
            <w:r w:rsidRPr="00BE536E">
              <w:rPr>
                <w:sz w:val="24"/>
                <w:szCs w:val="24"/>
              </w:rPr>
              <w:t>15</w:t>
            </w:r>
            <w:r w:rsidRPr="00BE536E">
              <w:rPr>
                <w:sz w:val="24"/>
                <w:szCs w:val="24"/>
                <w:lang w:val="en-US"/>
              </w:rPr>
              <w:t xml:space="preserve">, </w:t>
            </w:r>
            <w:r w:rsidRPr="00BE536E">
              <w:rPr>
                <w:sz w:val="24"/>
                <w:szCs w:val="24"/>
              </w:rPr>
              <w:t>16</w:t>
            </w:r>
            <w:r w:rsidRPr="00BE536E">
              <w:rPr>
                <w:sz w:val="24"/>
                <w:szCs w:val="24"/>
                <w:lang w:val="en-US"/>
              </w:rPr>
              <w:t xml:space="preserve">, </w:t>
            </w:r>
            <w:r w:rsidRPr="00BE536E">
              <w:rPr>
                <w:sz w:val="24"/>
                <w:szCs w:val="24"/>
              </w:rPr>
              <w:t>17</w:t>
            </w:r>
            <w:r w:rsidRPr="00BE536E">
              <w:rPr>
                <w:sz w:val="24"/>
                <w:szCs w:val="24"/>
                <w:lang w:val="en-US"/>
              </w:rPr>
              <w:t xml:space="preserve">, </w:t>
            </w:r>
            <w:r w:rsidRPr="00BE536E">
              <w:rPr>
                <w:sz w:val="24"/>
                <w:szCs w:val="24"/>
              </w:rPr>
              <w:t>23</w:t>
            </w:r>
            <w:r w:rsidRPr="00BE536E">
              <w:rPr>
                <w:sz w:val="24"/>
                <w:szCs w:val="24"/>
                <w:lang w:val="en-US"/>
              </w:rPr>
              <w:t xml:space="preserve">, </w:t>
            </w:r>
            <w:r w:rsidRPr="00BE536E">
              <w:rPr>
                <w:sz w:val="24"/>
                <w:szCs w:val="24"/>
              </w:rPr>
              <w:t>31</w:t>
            </w:r>
            <w:r w:rsidRPr="00BE536E">
              <w:rPr>
                <w:sz w:val="24"/>
                <w:szCs w:val="24"/>
                <w:lang w:val="en-US"/>
              </w:rPr>
              <w:t xml:space="preserve">, </w:t>
            </w:r>
            <w:r w:rsidRPr="00BE536E">
              <w:rPr>
                <w:sz w:val="24"/>
                <w:szCs w:val="24"/>
              </w:rPr>
              <w:t>37</w:t>
            </w:r>
            <w:r w:rsidRPr="00BE536E">
              <w:rPr>
                <w:sz w:val="24"/>
                <w:szCs w:val="24"/>
                <w:lang w:val="en-US"/>
              </w:rPr>
              <w:t xml:space="preserve">, </w:t>
            </w:r>
            <w:r w:rsidRPr="00BE536E">
              <w:rPr>
                <w:sz w:val="24"/>
                <w:szCs w:val="24"/>
              </w:rPr>
              <w:t>41</w:t>
            </w:r>
            <w:r w:rsidRPr="00BE536E">
              <w:rPr>
                <w:sz w:val="24"/>
                <w:szCs w:val="24"/>
                <w:lang w:val="en-US"/>
              </w:rPr>
              <w:t xml:space="preserve">, </w:t>
            </w:r>
            <w:r w:rsidRPr="00BE536E">
              <w:rPr>
                <w:sz w:val="24"/>
                <w:szCs w:val="24"/>
              </w:rPr>
              <w:t>43</w:t>
            </w:r>
            <w:r w:rsidRPr="00BE536E">
              <w:rPr>
                <w:sz w:val="24"/>
                <w:szCs w:val="24"/>
                <w:lang w:val="en-US"/>
              </w:rPr>
              <w:t xml:space="preserve">, </w:t>
            </w:r>
            <w:r w:rsidRPr="00BE536E">
              <w:rPr>
                <w:sz w:val="24"/>
                <w:szCs w:val="24"/>
              </w:rPr>
              <w:t>47</w:t>
            </w:r>
            <w:r w:rsidRPr="00BE536E">
              <w:rPr>
                <w:sz w:val="24"/>
                <w:szCs w:val="24"/>
                <w:lang w:val="en-US"/>
              </w:rPr>
              <w:t xml:space="preserve">, </w:t>
            </w:r>
            <w:r w:rsidRPr="00BE536E">
              <w:rPr>
                <w:sz w:val="24"/>
                <w:szCs w:val="24"/>
              </w:rPr>
              <w:t>49</w:t>
            </w:r>
            <w:r w:rsidRPr="00BE536E">
              <w:rPr>
                <w:sz w:val="24"/>
                <w:szCs w:val="24"/>
                <w:lang w:val="en-US"/>
              </w:rPr>
              <w:t xml:space="preserve">, </w:t>
            </w:r>
            <w:r w:rsidRPr="00BE536E">
              <w:rPr>
                <w:sz w:val="24"/>
                <w:szCs w:val="24"/>
              </w:rPr>
              <w:t>51</w:t>
            </w:r>
            <w:r w:rsidRPr="00BE536E">
              <w:rPr>
                <w:sz w:val="24"/>
                <w:szCs w:val="24"/>
                <w:lang w:val="en-US"/>
              </w:rPr>
              <w:t xml:space="preserve">, </w:t>
            </w:r>
            <w:r w:rsidRPr="00BE536E">
              <w:rPr>
                <w:sz w:val="24"/>
                <w:szCs w:val="24"/>
              </w:rPr>
              <w:t>53</w:t>
            </w:r>
            <w:r w:rsidRPr="00BE536E">
              <w:rPr>
                <w:sz w:val="24"/>
                <w:szCs w:val="24"/>
                <w:lang w:val="en-US"/>
              </w:rPr>
              <w:t xml:space="preserve">, </w:t>
            </w:r>
            <w:r w:rsidRPr="00BE536E">
              <w:rPr>
                <w:sz w:val="24"/>
                <w:szCs w:val="24"/>
              </w:rPr>
              <w:t>55</w:t>
            </w:r>
            <w:r w:rsidRPr="00BE536E">
              <w:rPr>
                <w:sz w:val="24"/>
                <w:szCs w:val="24"/>
                <w:lang w:val="en-US"/>
              </w:rPr>
              <w:t xml:space="preserve">, </w:t>
            </w:r>
            <w:r w:rsidRPr="00BE536E">
              <w:rPr>
                <w:sz w:val="24"/>
                <w:szCs w:val="24"/>
              </w:rPr>
              <w:t>56</w:t>
            </w:r>
            <w:r w:rsidRPr="00BE536E">
              <w:rPr>
                <w:sz w:val="24"/>
                <w:szCs w:val="24"/>
                <w:lang w:val="en-US"/>
              </w:rPr>
              <w:t xml:space="preserve">, </w:t>
            </w:r>
            <w:r w:rsidRPr="00BE536E">
              <w:rPr>
                <w:sz w:val="24"/>
                <w:szCs w:val="24"/>
              </w:rPr>
              <w:t>64</w:t>
            </w:r>
            <w:r w:rsidRPr="00BE536E">
              <w:rPr>
                <w:sz w:val="24"/>
                <w:szCs w:val="24"/>
                <w:lang w:val="en-US"/>
              </w:rPr>
              <w:t xml:space="preserve">, </w:t>
            </w:r>
            <w:r w:rsidRPr="00BE536E">
              <w:rPr>
                <w:sz w:val="24"/>
                <w:szCs w:val="24"/>
              </w:rPr>
              <w:t>65</w:t>
            </w:r>
            <w:r w:rsidRPr="00BE536E">
              <w:rPr>
                <w:sz w:val="24"/>
                <w:szCs w:val="24"/>
                <w:lang w:val="en-US"/>
              </w:rPr>
              <w:t xml:space="preserve">, </w:t>
            </w:r>
            <w:r w:rsidRPr="00BE536E">
              <w:rPr>
                <w:sz w:val="24"/>
                <w:szCs w:val="24"/>
              </w:rPr>
              <w:t>66</w:t>
            </w:r>
            <w:r w:rsidRPr="00BE536E">
              <w:rPr>
                <w:sz w:val="24"/>
                <w:szCs w:val="24"/>
                <w:lang w:val="en-US"/>
              </w:rPr>
              <w:t xml:space="preserve">, </w:t>
            </w:r>
            <w:r w:rsidRPr="00BE536E">
              <w:rPr>
                <w:sz w:val="24"/>
                <w:szCs w:val="24"/>
              </w:rPr>
              <w:t>70</w:t>
            </w:r>
            <w:r w:rsidRPr="00BE536E">
              <w:rPr>
                <w:sz w:val="24"/>
                <w:szCs w:val="24"/>
                <w:lang w:val="en-US"/>
              </w:rPr>
              <w:t xml:space="preserve">, </w:t>
            </w:r>
            <w:r w:rsidRPr="00BE536E">
              <w:rPr>
                <w:sz w:val="24"/>
                <w:szCs w:val="24"/>
              </w:rPr>
              <w:t>77</w:t>
            </w:r>
            <w:r w:rsidRPr="00BE536E">
              <w:rPr>
                <w:sz w:val="24"/>
                <w:szCs w:val="24"/>
                <w:lang w:val="en-US"/>
              </w:rPr>
              <w:t xml:space="preserve">, </w:t>
            </w:r>
            <w:r w:rsidRPr="00BE536E">
              <w:rPr>
                <w:sz w:val="24"/>
                <w:szCs w:val="24"/>
              </w:rPr>
              <w:t>78</w:t>
            </w:r>
            <w:r w:rsidRPr="00BE536E">
              <w:rPr>
                <w:sz w:val="24"/>
                <w:szCs w:val="24"/>
                <w:lang w:val="en-US"/>
              </w:rPr>
              <w:t xml:space="preserve">, </w:t>
            </w:r>
            <w:r w:rsidRPr="00BE536E">
              <w:rPr>
                <w:sz w:val="24"/>
                <w:szCs w:val="24"/>
              </w:rPr>
              <w:t>93</w:t>
            </w:r>
          </w:p>
        </w:tc>
        <w:tc>
          <w:tcPr>
            <w:tcW w:w="2949" w:type="dxa"/>
            <w:tcBorders>
              <w:top w:val="nil"/>
              <w:left w:val="single" w:sz="4" w:space="0" w:color="auto"/>
              <w:bottom w:val="single" w:sz="4" w:space="0" w:color="auto"/>
              <w:right w:val="single" w:sz="4" w:space="0" w:color="auto"/>
            </w:tcBorders>
            <w:shd w:val="clear" w:color="auto" w:fill="auto"/>
            <w:vAlign w:val="center"/>
            <w:hideMark/>
          </w:tcPr>
          <w:p w14:paraId="38B35637" w14:textId="77777777" w:rsidR="0088448E" w:rsidRPr="00BE536E" w:rsidRDefault="0088448E" w:rsidP="00567222">
            <w:pPr>
              <w:spacing w:after="0"/>
              <w:jc w:val="center"/>
              <w:rPr>
                <w:sz w:val="24"/>
                <w:szCs w:val="24"/>
              </w:rPr>
            </w:pPr>
            <w:r w:rsidRPr="00BE536E">
              <w:rPr>
                <w:sz w:val="24"/>
                <w:szCs w:val="24"/>
              </w:rPr>
              <w:t>Высокий риск</w:t>
            </w:r>
          </w:p>
        </w:tc>
        <w:tc>
          <w:tcPr>
            <w:tcW w:w="884" w:type="dxa"/>
            <w:tcBorders>
              <w:top w:val="nil"/>
              <w:left w:val="nil"/>
              <w:bottom w:val="single" w:sz="4" w:space="0" w:color="auto"/>
              <w:right w:val="single" w:sz="4" w:space="0" w:color="auto"/>
            </w:tcBorders>
            <w:shd w:val="clear" w:color="auto" w:fill="auto"/>
            <w:vAlign w:val="center"/>
            <w:hideMark/>
          </w:tcPr>
          <w:p w14:paraId="52FF58E4" w14:textId="77777777" w:rsidR="0088448E" w:rsidRPr="00BE536E" w:rsidRDefault="0088448E" w:rsidP="00567222">
            <w:pPr>
              <w:spacing w:after="0"/>
              <w:jc w:val="center"/>
              <w:rPr>
                <w:sz w:val="24"/>
                <w:szCs w:val="24"/>
              </w:rPr>
            </w:pPr>
            <w:r w:rsidRPr="00BE536E">
              <w:rPr>
                <w:sz w:val="24"/>
                <w:szCs w:val="24"/>
              </w:rPr>
              <w:t>0.08</w:t>
            </w:r>
          </w:p>
        </w:tc>
      </w:tr>
    </w:tbl>
    <w:p w14:paraId="4D9FEE46" w14:textId="77777777" w:rsidR="00031F3C" w:rsidRPr="00BE536E" w:rsidRDefault="00031F3C" w:rsidP="00567222">
      <w:pPr>
        <w:spacing w:after="0"/>
        <w:ind w:left="1440"/>
        <w:rPr>
          <w:sz w:val="24"/>
          <w:szCs w:val="24"/>
        </w:rPr>
      </w:pPr>
    </w:p>
    <w:p w14:paraId="0B84D105" w14:textId="77777777" w:rsidR="00031F3C" w:rsidRPr="00BE536E" w:rsidRDefault="00031F3C" w:rsidP="00567222">
      <w:pPr>
        <w:spacing w:after="0"/>
        <w:ind w:left="1440"/>
        <w:jc w:val="center"/>
        <w:rPr>
          <w:b/>
          <w:sz w:val="24"/>
          <w:szCs w:val="24"/>
        </w:rPr>
      </w:pPr>
      <w:r w:rsidRPr="00BE536E">
        <w:rPr>
          <w:b/>
          <w:sz w:val="24"/>
          <w:szCs w:val="24"/>
        </w:rPr>
        <w:t>Для иностранных компаний</w:t>
      </w:r>
    </w:p>
    <w:p w14:paraId="01535B47" w14:textId="77777777" w:rsidR="00031F3C" w:rsidRPr="00BE536E" w:rsidRDefault="00031F3C" w:rsidP="00567222">
      <w:pPr>
        <w:spacing w:after="0"/>
        <w:ind w:left="1440"/>
        <w:jc w:val="center"/>
        <w:rPr>
          <w:b/>
          <w:sz w:val="24"/>
          <w:szCs w:val="24"/>
        </w:rPr>
      </w:pPr>
    </w:p>
    <w:tbl>
      <w:tblPr>
        <w:tblW w:w="9356" w:type="dxa"/>
        <w:tblInd w:w="675" w:type="dxa"/>
        <w:tblLook w:val="04A0" w:firstRow="1" w:lastRow="0" w:firstColumn="1" w:lastColumn="0" w:noHBand="0" w:noVBand="1"/>
      </w:tblPr>
      <w:tblGrid>
        <w:gridCol w:w="7371"/>
        <w:gridCol w:w="1985"/>
      </w:tblGrid>
      <w:tr w:rsidR="00031F3C" w:rsidRPr="00BE536E" w14:paraId="04E0C306" w14:textId="77777777" w:rsidTr="00C819D7">
        <w:trPr>
          <w:trHeight w:val="639"/>
        </w:trPr>
        <w:tc>
          <w:tcPr>
            <w:tcW w:w="7371" w:type="dxa"/>
            <w:tcBorders>
              <w:top w:val="single" w:sz="4" w:space="0" w:color="auto"/>
              <w:left w:val="single" w:sz="4" w:space="0" w:color="auto"/>
              <w:bottom w:val="single" w:sz="4" w:space="0" w:color="auto"/>
              <w:right w:val="single" w:sz="4" w:space="0" w:color="auto"/>
            </w:tcBorders>
            <w:vAlign w:val="center"/>
            <w:hideMark/>
          </w:tcPr>
          <w:p w14:paraId="75E15794" w14:textId="77777777" w:rsidR="00031F3C" w:rsidRPr="00BE536E" w:rsidRDefault="00031F3C" w:rsidP="00567222">
            <w:pPr>
              <w:spacing w:after="0"/>
              <w:jc w:val="center"/>
              <w:rPr>
                <w:b/>
                <w:bCs/>
                <w:sz w:val="24"/>
                <w:szCs w:val="24"/>
              </w:rPr>
            </w:pPr>
            <w:r w:rsidRPr="00BE536E">
              <w:rPr>
                <w:b/>
                <w:bCs/>
                <w:sz w:val="24"/>
                <w:szCs w:val="24"/>
              </w:rPr>
              <w:t>Отрасль</w:t>
            </w:r>
          </w:p>
        </w:tc>
        <w:tc>
          <w:tcPr>
            <w:tcW w:w="1985" w:type="dxa"/>
            <w:tcBorders>
              <w:top w:val="single" w:sz="4" w:space="0" w:color="auto"/>
              <w:left w:val="nil"/>
              <w:bottom w:val="single" w:sz="4" w:space="0" w:color="auto"/>
              <w:right w:val="single" w:sz="4" w:space="0" w:color="auto"/>
            </w:tcBorders>
            <w:vAlign w:val="center"/>
            <w:hideMark/>
          </w:tcPr>
          <w:p w14:paraId="60E9D016" w14:textId="77777777" w:rsidR="00031F3C" w:rsidRPr="00BE536E" w:rsidRDefault="00031F3C" w:rsidP="00567222">
            <w:pPr>
              <w:spacing w:after="0"/>
              <w:jc w:val="center"/>
              <w:rPr>
                <w:b/>
                <w:bCs/>
                <w:sz w:val="24"/>
                <w:szCs w:val="24"/>
              </w:rPr>
            </w:pPr>
            <w:r w:rsidRPr="00BE536E">
              <w:rPr>
                <w:b/>
                <w:bCs/>
                <w:sz w:val="24"/>
                <w:szCs w:val="24"/>
                <w:lang w:val="en-US"/>
              </w:rPr>
              <w:t>PD</w:t>
            </w:r>
          </w:p>
        </w:tc>
      </w:tr>
      <w:tr w:rsidR="00031F3C" w:rsidRPr="00BE536E" w14:paraId="1BA55473"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3DA6674A" w14:textId="77777777" w:rsidR="00031F3C" w:rsidRPr="00BE536E" w:rsidRDefault="00031F3C" w:rsidP="00567222">
            <w:pPr>
              <w:spacing w:after="0"/>
              <w:rPr>
                <w:sz w:val="24"/>
                <w:szCs w:val="24"/>
              </w:rPr>
            </w:pPr>
            <w:r w:rsidRPr="00BE536E">
              <w:rPr>
                <w:sz w:val="24"/>
                <w:szCs w:val="24"/>
              </w:rPr>
              <w:t xml:space="preserve">Строительство зданий </w:t>
            </w:r>
          </w:p>
        </w:tc>
        <w:tc>
          <w:tcPr>
            <w:tcW w:w="1985" w:type="dxa"/>
            <w:tcBorders>
              <w:top w:val="nil"/>
              <w:left w:val="nil"/>
              <w:bottom w:val="single" w:sz="4" w:space="0" w:color="auto"/>
              <w:right w:val="single" w:sz="4" w:space="0" w:color="auto"/>
            </w:tcBorders>
            <w:vAlign w:val="center"/>
            <w:hideMark/>
          </w:tcPr>
          <w:p w14:paraId="33D55EDF" w14:textId="77777777" w:rsidR="00031F3C" w:rsidRPr="00BE536E" w:rsidRDefault="00031F3C" w:rsidP="00567222">
            <w:pPr>
              <w:spacing w:after="0"/>
              <w:jc w:val="center"/>
              <w:rPr>
                <w:sz w:val="24"/>
                <w:szCs w:val="24"/>
              </w:rPr>
            </w:pPr>
            <w:r w:rsidRPr="00BE536E">
              <w:rPr>
                <w:sz w:val="24"/>
                <w:szCs w:val="24"/>
              </w:rPr>
              <w:t>0,1503</w:t>
            </w:r>
          </w:p>
        </w:tc>
      </w:tr>
      <w:tr w:rsidR="00031F3C" w:rsidRPr="00BE536E" w14:paraId="0B6EF53C" w14:textId="77777777" w:rsidTr="00C819D7">
        <w:trPr>
          <w:trHeight w:val="400"/>
        </w:trPr>
        <w:tc>
          <w:tcPr>
            <w:tcW w:w="7371" w:type="dxa"/>
            <w:tcBorders>
              <w:top w:val="nil"/>
              <w:left w:val="single" w:sz="4" w:space="0" w:color="auto"/>
              <w:bottom w:val="single" w:sz="4" w:space="0" w:color="auto"/>
              <w:right w:val="single" w:sz="4" w:space="0" w:color="auto"/>
            </w:tcBorders>
            <w:vAlign w:val="center"/>
            <w:hideMark/>
          </w:tcPr>
          <w:p w14:paraId="30A58589" w14:textId="77777777" w:rsidR="00031F3C" w:rsidRPr="00BE536E" w:rsidRDefault="00031F3C" w:rsidP="00567222">
            <w:pPr>
              <w:spacing w:after="0"/>
              <w:rPr>
                <w:sz w:val="24"/>
                <w:szCs w:val="24"/>
              </w:rPr>
            </w:pPr>
            <w:r w:rsidRPr="00BE536E">
              <w:rPr>
                <w:sz w:val="24"/>
                <w:szCs w:val="24"/>
              </w:rPr>
              <w:t>Складское хозяйство и вспомогательная транспортная деятельность</w:t>
            </w:r>
          </w:p>
        </w:tc>
        <w:tc>
          <w:tcPr>
            <w:tcW w:w="1985" w:type="dxa"/>
            <w:tcBorders>
              <w:top w:val="nil"/>
              <w:left w:val="nil"/>
              <w:bottom w:val="single" w:sz="4" w:space="0" w:color="auto"/>
              <w:right w:val="single" w:sz="4" w:space="0" w:color="auto"/>
            </w:tcBorders>
            <w:vAlign w:val="center"/>
            <w:hideMark/>
          </w:tcPr>
          <w:p w14:paraId="5900B6BA" w14:textId="77777777" w:rsidR="00031F3C" w:rsidRPr="00BE536E" w:rsidRDefault="00031F3C" w:rsidP="00567222">
            <w:pPr>
              <w:spacing w:after="0"/>
              <w:jc w:val="center"/>
              <w:rPr>
                <w:sz w:val="24"/>
                <w:szCs w:val="24"/>
              </w:rPr>
            </w:pPr>
            <w:r w:rsidRPr="00BE536E">
              <w:rPr>
                <w:sz w:val="24"/>
                <w:szCs w:val="24"/>
              </w:rPr>
              <w:t>0,1049</w:t>
            </w:r>
          </w:p>
        </w:tc>
      </w:tr>
      <w:tr w:rsidR="00031F3C" w:rsidRPr="00BE536E" w14:paraId="3FD1295A"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3AC2B558" w14:textId="77777777" w:rsidR="00031F3C" w:rsidRPr="00BE536E" w:rsidRDefault="00031F3C" w:rsidP="00567222">
            <w:pPr>
              <w:spacing w:after="0"/>
              <w:rPr>
                <w:sz w:val="24"/>
                <w:szCs w:val="24"/>
              </w:rPr>
            </w:pPr>
            <w:r w:rsidRPr="00BE536E">
              <w:rPr>
                <w:sz w:val="24"/>
                <w:szCs w:val="24"/>
              </w:rPr>
              <w:t>Инвестиции и управление недвижимостью</w:t>
            </w:r>
          </w:p>
        </w:tc>
        <w:tc>
          <w:tcPr>
            <w:tcW w:w="1985" w:type="dxa"/>
            <w:tcBorders>
              <w:top w:val="nil"/>
              <w:left w:val="nil"/>
              <w:bottom w:val="single" w:sz="4" w:space="0" w:color="auto"/>
              <w:right w:val="single" w:sz="4" w:space="0" w:color="auto"/>
            </w:tcBorders>
            <w:vAlign w:val="center"/>
            <w:hideMark/>
          </w:tcPr>
          <w:p w14:paraId="5AB3D3CC" w14:textId="77777777" w:rsidR="00031F3C" w:rsidRPr="00BE536E" w:rsidRDefault="00031F3C" w:rsidP="00567222">
            <w:pPr>
              <w:spacing w:after="0"/>
              <w:jc w:val="center"/>
              <w:rPr>
                <w:sz w:val="24"/>
                <w:szCs w:val="24"/>
              </w:rPr>
            </w:pPr>
            <w:r w:rsidRPr="00BE536E">
              <w:rPr>
                <w:sz w:val="24"/>
                <w:szCs w:val="24"/>
              </w:rPr>
              <w:t>0,0877</w:t>
            </w:r>
          </w:p>
        </w:tc>
      </w:tr>
      <w:tr w:rsidR="00031F3C" w:rsidRPr="00BE536E" w14:paraId="487B1EF9"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562C3F48" w14:textId="77777777" w:rsidR="00031F3C" w:rsidRPr="00BE536E" w:rsidRDefault="00031F3C" w:rsidP="00567222">
            <w:pPr>
              <w:spacing w:after="0"/>
              <w:rPr>
                <w:sz w:val="24"/>
                <w:szCs w:val="24"/>
              </w:rPr>
            </w:pPr>
            <w:r w:rsidRPr="00BE536E">
              <w:rPr>
                <w:sz w:val="24"/>
                <w:szCs w:val="24"/>
              </w:rPr>
              <w:t>Специализированные строительные работы</w:t>
            </w:r>
          </w:p>
        </w:tc>
        <w:tc>
          <w:tcPr>
            <w:tcW w:w="1985" w:type="dxa"/>
            <w:tcBorders>
              <w:top w:val="nil"/>
              <w:left w:val="nil"/>
              <w:bottom w:val="single" w:sz="4" w:space="0" w:color="auto"/>
              <w:right w:val="single" w:sz="4" w:space="0" w:color="auto"/>
            </w:tcBorders>
            <w:vAlign w:val="center"/>
            <w:hideMark/>
          </w:tcPr>
          <w:p w14:paraId="7A8481F9" w14:textId="77777777" w:rsidR="00031F3C" w:rsidRPr="00BE536E" w:rsidRDefault="00031F3C" w:rsidP="00567222">
            <w:pPr>
              <w:spacing w:after="0"/>
              <w:jc w:val="center"/>
              <w:rPr>
                <w:sz w:val="24"/>
                <w:szCs w:val="24"/>
              </w:rPr>
            </w:pPr>
            <w:r w:rsidRPr="00BE536E">
              <w:rPr>
                <w:sz w:val="24"/>
                <w:szCs w:val="24"/>
              </w:rPr>
              <w:t>0,0762</w:t>
            </w:r>
          </w:p>
        </w:tc>
      </w:tr>
      <w:tr w:rsidR="00031F3C" w:rsidRPr="00BE536E" w14:paraId="72652A0C" w14:textId="77777777" w:rsidTr="00C819D7">
        <w:trPr>
          <w:trHeight w:val="400"/>
        </w:trPr>
        <w:tc>
          <w:tcPr>
            <w:tcW w:w="7371" w:type="dxa"/>
            <w:tcBorders>
              <w:top w:val="nil"/>
              <w:left w:val="single" w:sz="4" w:space="0" w:color="auto"/>
              <w:bottom w:val="single" w:sz="4" w:space="0" w:color="auto"/>
              <w:right w:val="single" w:sz="4" w:space="0" w:color="auto"/>
            </w:tcBorders>
            <w:vAlign w:val="center"/>
            <w:hideMark/>
          </w:tcPr>
          <w:p w14:paraId="3660177D" w14:textId="77777777" w:rsidR="00031F3C" w:rsidRPr="00BE536E" w:rsidRDefault="00031F3C" w:rsidP="00567222">
            <w:pPr>
              <w:spacing w:after="0"/>
              <w:rPr>
                <w:sz w:val="24"/>
                <w:szCs w:val="24"/>
              </w:rPr>
            </w:pPr>
            <w:r w:rsidRPr="00BE536E">
              <w:rPr>
                <w:sz w:val="24"/>
                <w:szCs w:val="24"/>
              </w:rPr>
              <w:t>Производство металлических изделий, кроме машин и оборудования</w:t>
            </w:r>
          </w:p>
        </w:tc>
        <w:tc>
          <w:tcPr>
            <w:tcW w:w="1985" w:type="dxa"/>
            <w:tcBorders>
              <w:top w:val="nil"/>
              <w:left w:val="nil"/>
              <w:bottom w:val="single" w:sz="4" w:space="0" w:color="auto"/>
              <w:right w:val="single" w:sz="4" w:space="0" w:color="auto"/>
            </w:tcBorders>
            <w:vAlign w:val="center"/>
            <w:hideMark/>
          </w:tcPr>
          <w:p w14:paraId="1F71F8DE" w14:textId="77777777" w:rsidR="00031F3C" w:rsidRPr="00BE536E" w:rsidRDefault="00031F3C" w:rsidP="00567222">
            <w:pPr>
              <w:spacing w:after="0"/>
              <w:jc w:val="center"/>
              <w:rPr>
                <w:sz w:val="24"/>
                <w:szCs w:val="24"/>
              </w:rPr>
            </w:pPr>
            <w:r w:rsidRPr="00BE536E">
              <w:rPr>
                <w:sz w:val="24"/>
                <w:szCs w:val="24"/>
              </w:rPr>
              <w:t>0,0615</w:t>
            </w:r>
          </w:p>
        </w:tc>
      </w:tr>
      <w:tr w:rsidR="00031F3C" w:rsidRPr="00BE536E" w14:paraId="4643F262"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2E0B008D" w14:textId="77777777" w:rsidR="00031F3C" w:rsidRPr="00BE536E" w:rsidRDefault="00031F3C" w:rsidP="00567222">
            <w:pPr>
              <w:spacing w:after="0"/>
              <w:rPr>
                <w:sz w:val="24"/>
                <w:szCs w:val="24"/>
              </w:rPr>
            </w:pPr>
            <w:r w:rsidRPr="00BE536E">
              <w:rPr>
                <w:sz w:val="24"/>
                <w:szCs w:val="24"/>
              </w:rPr>
              <w:t>Предоставление прочих сервисных услуг</w:t>
            </w:r>
          </w:p>
        </w:tc>
        <w:tc>
          <w:tcPr>
            <w:tcW w:w="1985" w:type="dxa"/>
            <w:tcBorders>
              <w:top w:val="nil"/>
              <w:left w:val="nil"/>
              <w:bottom w:val="single" w:sz="4" w:space="0" w:color="auto"/>
              <w:right w:val="single" w:sz="4" w:space="0" w:color="auto"/>
            </w:tcBorders>
            <w:vAlign w:val="center"/>
            <w:hideMark/>
          </w:tcPr>
          <w:p w14:paraId="7720F42A" w14:textId="77777777" w:rsidR="00031F3C" w:rsidRPr="00BE536E" w:rsidRDefault="00031F3C" w:rsidP="00567222">
            <w:pPr>
              <w:spacing w:after="0"/>
              <w:jc w:val="center"/>
              <w:rPr>
                <w:sz w:val="24"/>
                <w:szCs w:val="24"/>
              </w:rPr>
            </w:pPr>
            <w:r w:rsidRPr="00BE536E">
              <w:rPr>
                <w:sz w:val="24"/>
                <w:szCs w:val="24"/>
              </w:rPr>
              <w:t>0,078</w:t>
            </w:r>
          </w:p>
        </w:tc>
      </w:tr>
      <w:tr w:rsidR="00031F3C" w:rsidRPr="00BE536E" w14:paraId="0C042499"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37B66EA5" w14:textId="77777777" w:rsidR="00031F3C" w:rsidRPr="00BE536E" w:rsidRDefault="00031F3C" w:rsidP="00567222">
            <w:pPr>
              <w:spacing w:after="0"/>
              <w:rPr>
                <w:sz w:val="24"/>
                <w:szCs w:val="24"/>
              </w:rPr>
            </w:pPr>
            <w:r w:rsidRPr="00BE536E">
              <w:rPr>
                <w:sz w:val="24"/>
                <w:szCs w:val="24"/>
              </w:rPr>
              <w:t>Розничная торговля</w:t>
            </w:r>
          </w:p>
        </w:tc>
        <w:tc>
          <w:tcPr>
            <w:tcW w:w="1985" w:type="dxa"/>
            <w:tcBorders>
              <w:top w:val="nil"/>
              <w:left w:val="nil"/>
              <w:bottom w:val="single" w:sz="4" w:space="0" w:color="auto"/>
              <w:right w:val="single" w:sz="4" w:space="0" w:color="auto"/>
            </w:tcBorders>
            <w:vAlign w:val="center"/>
            <w:hideMark/>
          </w:tcPr>
          <w:p w14:paraId="6CBF8FFF" w14:textId="77777777" w:rsidR="00031F3C" w:rsidRPr="00BE536E" w:rsidRDefault="00031F3C" w:rsidP="00567222">
            <w:pPr>
              <w:spacing w:after="0"/>
              <w:jc w:val="center"/>
              <w:rPr>
                <w:sz w:val="24"/>
                <w:szCs w:val="24"/>
              </w:rPr>
            </w:pPr>
            <w:r w:rsidRPr="00BE536E">
              <w:rPr>
                <w:sz w:val="24"/>
                <w:szCs w:val="24"/>
              </w:rPr>
              <w:t>0,0659</w:t>
            </w:r>
          </w:p>
        </w:tc>
      </w:tr>
      <w:tr w:rsidR="00031F3C" w:rsidRPr="00BE536E" w14:paraId="6A8F807E"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15FCB7E8" w14:textId="77777777" w:rsidR="00031F3C" w:rsidRPr="00BE536E" w:rsidRDefault="00031F3C" w:rsidP="00567222">
            <w:pPr>
              <w:spacing w:after="0"/>
              <w:rPr>
                <w:sz w:val="24"/>
                <w:szCs w:val="24"/>
              </w:rPr>
            </w:pPr>
            <w:r w:rsidRPr="00BE536E">
              <w:rPr>
                <w:sz w:val="24"/>
                <w:szCs w:val="24"/>
              </w:rPr>
              <w:t>Деятельность по предоставлению продуктов питания и напитков</w:t>
            </w:r>
          </w:p>
        </w:tc>
        <w:tc>
          <w:tcPr>
            <w:tcW w:w="1985" w:type="dxa"/>
            <w:tcBorders>
              <w:top w:val="nil"/>
              <w:left w:val="nil"/>
              <w:bottom w:val="single" w:sz="4" w:space="0" w:color="auto"/>
              <w:right w:val="single" w:sz="4" w:space="0" w:color="auto"/>
            </w:tcBorders>
            <w:vAlign w:val="center"/>
            <w:hideMark/>
          </w:tcPr>
          <w:p w14:paraId="1B280D36" w14:textId="77777777" w:rsidR="00031F3C" w:rsidRPr="00BE536E" w:rsidRDefault="00031F3C" w:rsidP="00567222">
            <w:pPr>
              <w:spacing w:after="0"/>
              <w:jc w:val="center"/>
              <w:rPr>
                <w:sz w:val="24"/>
                <w:szCs w:val="24"/>
              </w:rPr>
            </w:pPr>
            <w:r w:rsidRPr="00BE536E">
              <w:rPr>
                <w:sz w:val="24"/>
                <w:szCs w:val="24"/>
              </w:rPr>
              <w:t>0,0823</w:t>
            </w:r>
          </w:p>
        </w:tc>
      </w:tr>
      <w:tr w:rsidR="00031F3C" w:rsidRPr="00BE536E" w14:paraId="6BA68655"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1E41649A" w14:textId="77777777" w:rsidR="00031F3C" w:rsidRPr="00BE536E" w:rsidRDefault="00031F3C" w:rsidP="00567222">
            <w:pPr>
              <w:spacing w:after="0"/>
              <w:rPr>
                <w:sz w:val="24"/>
                <w:szCs w:val="24"/>
              </w:rPr>
            </w:pPr>
            <w:r w:rsidRPr="00BE536E">
              <w:rPr>
                <w:sz w:val="24"/>
                <w:szCs w:val="24"/>
              </w:rPr>
              <w:t>Производство пищевых продуктов</w:t>
            </w:r>
          </w:p>
        </w:tc>
        <w:tc>
          <w:tcPr>
            <w:tcW w:w="1985" w:type="dxa"/>
            <w:tcBorders>
              <w:top w:val="nil"/>
              <w:left w:val="nil"/>
              <w:bottom w:val="single" w:sz="4" w:space="0" w:color="auto"/>
              <w:right w:val="single" w:sz="4" w:space="0" w:color="auto"/>
            </w:tcBorders>
            <w:vAlign w:val="center"/>
            <w:hideMark/>
          </w:tcPr>
          <w:p w14:paraId="4DBD20F7" w14:textId="77777777" w:rsidR="00031F3C" w:rsidRPr="00BE536E" w:rsidRDefault="00031F3C" w:rsidP="00567222">
            <w:pPr>
              <w:spacing w:after="0"/>
              <w:jc w:val="center"/>
              <w:rPr>
                <w:sz w:val="24"/>
                <w:szCs w:val="24"/>
              </w:rPr>
            </w:pPr>
            <w:r w:rsidRPr="00BE536E">
              <w:rPr>
                <w:sz w:val="24"/>
                <w:szCs w:val="24"/>
              </w:rPr>
              <w:t>0,0591</w:t>
            </w:r>
          </w:p>
        </w:tc>
      </w:tr>
      <w:tr w:rsidR="00031F3C" w:rsidRPr="00BE536E" w14:paraId="5BC1471F"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6E7C6C94" w14:textId="77777777" w:rsidR="00031F3C" w:rsidRPr="00BE536E" w:rsidRDefault="00031F3C" w:rsidP="00567222">
            <w:pPr>
              <w:spacing w:after="0"/>
              <w:rPr>
                <w:sz w:val="24"/>
                <w:szCs w:val="24"/>
              </w:rPr>
            </w:pPr>
            <w:r w:rsidRPr="00BE536E">
              <w:rPr>
                <w:sz w:val="24"/>
                <w:szCs w:val="24"/>
              </w:rPr>
              <w:t>Производство машин и оборудования</w:t>
            </w:r>
          </w:p>
        </w:tc>
        <w:tc>
          <w:tcPr>
            <w:tcW w:w="1985" w:type="dxa"/>
            <w:tcBorders>
              <w:top w:val="nil"/>
              <w:left w:val="nil"/>
              <w:bottom w:val="single" w:sz="4" w:space="0" w:color="auto"/>
              <w:right w:val="single" w:sz="4" w:space="0" w:color="auto"/>
            </w:tcBorders>
            <w:vAlign w:val="center"/>
            <w:hideMark/>
          </w:tcPr>
          <w:p w14:paraId="365E53CA" w14:textId="77777777" w:rsidR="00031F3C" w:rsidRPr="00BE536E" w:rsidRDefault="00031F3C" w:rsidP="00567222">
            <w:pPr>
              <w:spacing w:after="0"/>
              <w:jc w:val="center"/>
              <w:rPr>
                <w:sz w:val="24"/>
                <w:szCs w:val="24"/>
              </w:rPr>
            </w:pPr>
            <w:r w:rsidRPr="00BE536E">
              <w:rPr>
                <w:sz w:val="24"/>
                <w:szCs w:val="24"/>
              </w:rPr>
              <w:t>0,0671</w:t>
            </w:r>
          </w:p>
        </w:tc>
      </w:tr>
      <w:tr w:rsidR="00031F3C" w:rsidRPr="00BE536E" w14:paraId="545EE525"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20D248D4" w14:textId="77777777" w:rsidR="00031F3C" w:rsidRPr="00BE536E" w:rsidRDefault="00031F3C" w:rsidP="00567222">
            <w:pPr>
              <w:spacing w:after="0"/>
              <w:rPr>
                <w:sz w:val="24"/>
                <w:szCs w:val="24"/>
              </w:rPr>
            </w:pPr>
            <w:r w:rsidRPr="00BE536E">
              <w:rPr>
                <w:sz w:val="24"/>
                <w:szCs w:val="24"/>
              </w:rPr>
              <w:t>Прочее (среднее значение)</w:t>
            </w:r>
          </w:p>
        </w:tc>
        <w:tc>
          <w:tcPr>
            <w:tcW w:w="1985" w:type="dxa"/>
            <w:tcBorders>
              <w:top w:val="nil"/>
              <w:left w:val="nil"/>
              <w:bottom w:val="single" w:sz="4" w:space="0" w:color="auto"/>
              <w:right w:val="single" w:sz="4" w:space="0" w:color="auto"/>
            </w:tcBorders>
            <w:vAlign w:val="center"/>
            <w:hideMark/>
          </w:tcPr>
          <w:p w14:paraId="3E40BB51" w14:textId="77777777" w:rsidR="00031F3C" w:rsidRPr="00BE536E" w:rsidRDefault="00031F3C" w:rsidP="00567222">
            <w:pPr>
              <w:spacing w:after="0"/>
              <w:jc w:val="center"/>
              <w:rPr>
                <w:sz w:val="24"/>
                <w:szCs w:val="24"/>
              </w:rPr>
            </w:pPr>
            <w:r w:rsidRPr="00BE536E">
              <w:rPr>
                <w:sz w:val="24"/>
                <w:szCs w:val="24"/>
              </w:rPr>
              <w:t>0,0904</w:t>
            </w:r>
          </w:p>
        </w:tc>
      </w:tr>
    </w:tbl>
    <w:p w14:paraId="5789AAA9" w14:textId="77777777" w:rsidR="00031F3C" w:rsidRPr="00BE536E" w:rsidRDefault="00031F3C" w:rsidP="00031F3C">
      <w:pPr>
        <w:jc w:val="right"/>
        <w:rPr>
          <w:b/>
          <w:sz w:val="24"/>
          <w:szCs w:val="24"/>
        </w:rPr>
      </w:pPr>
      <w:r w:rsidRPr="00BE536E">
        <w:rPr>
          <w:b/>
          <w:sz w:val="24"/>
          <w:szCs w:val="24"/>
        </w:rPr>
        <w:lastRenderedPageBreak/>
        <w:t>Приложение Д.</w:t>
      </w:r>
    </w:p>
    <w:p w14:paraId="5764F6A6" w14:textId="77777777" w:rsidR="00031F3C" w:rsidRPr="00BE536E" w:rsidRDefault="00031F3C" w:rsidP="00031F3C">
      <w:pPr>
        <w:spacing w:line="360" w:lineRule="auto"/>
        <w:ind w:left="360"/>
        <w:rPr>
          <w:b/>
          <w:sz w:val="24"/>
          <w:szCs w:val="24"/>
        </w:rPr>
      </w:pPr>
      <w:r w:rsidRPr="00BE536E">
        <w:rPr>
          <w:b/>
          <w:sz w:val="24"/>
          <w:szCs w:val="24"/>
        </w:rPr>
        <w:t>Таблица 1. Соответствие шкал рейтингов различных рейтинговых агентств.</w:t>
      </w:r>
    </w:p>
    <w:tbl>
      <w:tblPr>
        <w:tblW w:w="9885" w:type="dxa"/>
        <w:jc w:val="center"/>
        <w:tblLayout w:type="fixed"/>
        <w:tblLook w:val="04A0" w:firstRow="1" w:lastRow="0" w:firstColumn="1" w:lastColumn="0" w:noHBand="0" w:noVBand="1"/>
      </w:tblPr>
      <w:tblGrid>
        <w:gridCol w:w="1661"/>
        <w:gridCol w:w="1457"/>
        <w:gridCol w:w="2155"/>
        <w:gridCol w:w="2461"/>
        <w:gridCol w:w="2151"/>
      </w:tblGrid>
      <w:tr w:rsidR="00AE2A35" w:rsidRPr="00BE536E" w14:paraId="6A417465" w14:textId="77777777" w:rsidTr="00AE2A35">
        <w:trPr>
          <w:trHeight w:val="345"/>
          <w:jc w:val="center"/>
        </w:trPr>
        <w:tc>
          <w:tcPr>
            <w:tcW w:w="1661" w:type="dxa"/>
            <w:vMerge w:val="restart"/>
            <w:tcBorders>
              <w:top w:val="single" w:sz="8" w:space="0" w:color="auto"/>
              <w:left w:val="single" w:sz="8" w:space="0" w:color="auto"/>
              <w:bottom w:val="single" w:sz="8" w:space="0" w:color="000000"/>
              <w:right w:val="single" w:sz="8" w:space="0" w:color="auto"/>
            </w:tcBorders>
            <w:shd w:val="clear" w:color="auto" w:fill="D8D8D8"/>
            <w:vAlign w:val="center"/>
            <w:hideMark/>
          </w:tcPr>
          <w:p w14:paraId="575735AA" w14:textId="77777777" w:rsidR="00AE2A35" w:rsidRPr="00BE536E" w:rsidRDefault="00AE2A35">
            <w:pPr>
              <w:ind w:left="360"/>
              <w:rPr>
                <w:rFonts w:ascii="Verdana" w:hAnsi="Verdana"/>
                <w:b/>
                <w:bCs/>
                <w:sz w:val="20"/>
                <w:szCs w:val="20"/>
              </w:rPr>
            </w:pPr>
            <w:r w:rsidRPr="00BE536E">
              <w:rPr>
                <w:rFonts w:ascii="Verdana" w:hAnsi="Verdana"/>
                <w:b/>
                <w:bCs/>
                <w:sz w:val="20"/>
                <w:szCs w:val="20"/>
              </w:rPr>
              <w:t>АКРА</w:t>
            </w:r>
          </w:p>
        </w:tc>
        <w:tc>
          <w:tcPr>
            <w:tcW w:w="1458" w:type="dxa"/>
            <w:vMerge w:val="restart"/>
            <w:tcBorders>
              <w:top w:val="single" w:sz="8" w:space="0" w:color="auto"/>
              <w:left w:val="single" w:sz="8" w:space="0" w:color="auto"/>
              <w:bottom w:val="single" w:sz="8" w:space="0" w:color="000000"/>
              <w:right w:val="single" w:sz="8" w:space="0" w:color="auto"/>
            </w:tcBorders>
            <w:shd w:val="clear" w:color="auto" w:fill="D8D8D8"/>
            <w:vAlign w:val="center"/>
            <w:hideMark/>
          </w:tcPr>
          <w:p w14:paraId="47B2A229" w14:textId="77777777" w:rsidR="00AE2A35" w:rsidRPr="00BE536E" w:rsidRDefault="00AE2A35">
            <w:pPr>
              <w:jc w:val="center"/>
              <w:rPr>
                <w:rFonts w:ascii="Verdana" w:hAnsi="Verdana"/>
                <w:b/>
                <w:bCs/>
                <w:sz w:val="20"/>
                <w:szCs w:val="20"/>
              </w:rPr>
            </w:pPr>
            <w:r w:rsidRPr="00BE536E">
              <w:rPr>
                <w:rFonts w:ascii="Verdana" w:hAnsi="Verdana"/>
                <w:b/>
                <w:bCs/>
                <w:sz w:val="20"/>
                <w:szCs w:val="20"/>
              </w:rPr>
              <w:t>Эксперт РА</w:t>
            </w:r>
          </w:p>
        </w:tc>
        <w:tc>
          <w:tcPr>
            <w:tcW w:w="2156" w:type="dxa"/>
            <w:tcBorders>
              <w:top w:val="single" w:sz="8" w:space="0" w:color="auto"/>
              <w:left w:val="nil"/>
              <w:bottom w:val="single" w:sz="8" w:space="0" w:color="auto"/>
              <w:right w:val="single" w:sz="8" w:space="0" w:color="auto"/>
            </w:tcBorders>
            <w:shd w:val="clear" w:color="auto" w:fill="D8D8D8"/>
            <w:noWrap/>
            <w:vAlign w:val="center"/>
            <w:hideMark/>
          </w:tcPr>
          <w:p w14:paraId="2B03CBD9" w14:textId="77777777" w:rsidR="00AE2A35" w:rsidRPr="00BE536E" w:rsidRDefault="00AE2A35">
            <w:pPr>
              <w:ind w:left="360"/>
              <w:jc w:val="center"/>
              <w:rPr>
                <w:rFonts w:ascii="Verdana" w:hAnsi="Verdana"/>
                <w:b/>
                <w:bCs/>
                <w:sz w:val="20"/>
                <w:szCs w:val="20"/>
              </w:rPr>
            </w:pPr>
            <w:r w:rsidRPr="00BE536E">
              <w:rPr>
                <w:rFonts w:ascii="Verdana" w:hAnsi="Verdana"/>
                <w:b/>
                <w:bCs/>
                <w:sz w:val="20"/>
                <w:szCs w:val="20"/>
              </w:rPr>
              <w:t>Moody`s</w:t>
            </w:r>
          </w:p>
        </w:tc>
        <w:tc>
          <w:tcPr>
            <w:tcW w:w="2462" w:type="dxa"/>
            <w:tcBorders>
              <w:top w:val="single" w:sz="8" w:space="0" w:color="auto"/>
              <w:left w:val="nil"/>
              <w:bottom w:val="single" w:sz="8" w:space="0" w:color="auto"/>
              <w:right w:val="nil"/>
            </w:tcBorders>
            <w:shd w:val="clear" w:color="auto" w:fill="D8D8D8"/>
            <w:vAlign w:val="center"/>
            <w:hideMark/>
          </w:tcPr>
          <w:p w14:paraId="4BB00C36" w14:textId="77777777" w:rsidR="00AE2A35" w:rsidRPr="00BE536E" w:rsidRDefault="00AE2A35">
            <w:pPr>
              <w:ind w:left="360"/>
              <w:jc w:val="center"/>
              <w:rPr>
                <w:rFonts w:ascii="Verdana" w:hAnsi="Verdana"/>
                <w:b/>
                <w:bCs/>
                <w:sz w:val="20"/>
                <w:szCs w:val="20"/>
              </w:rPr>
            </w:pPr>
            <w:r w:rsidRPr="00BE536E">
              <w:rPr>
                <w:rFonts w:ascii="Verdana" w:hAnsi="Verdana"/>
                <w:b/>
                <w:bCs/>
                <w:sz w:val="20"/>
                <w:szCs w:val="20"/>
              </w:rPr>
              <w:t>S&amp;P</w:t>
            </w:r>
          </w:p>
        </w:tc>
        <w:tc>
          <w:tcPr>
            <w:tcW w:w="2152" w:type="dxa"/>
            <w:tcBorders>
              <w:top w:val="single" w:sz="8" w:space="0" w:color="auto"/>
              <w:left w:val="single" w:sz="8" w:space="0" w:color="auto"/>
              <w:bottom w:val="single" w:sz="8" w:space="0" w:color="auto"/>
              <w:right w:val="single" w:sz="8" w:space="0" w:color="auto"/>
            </w:tcBorders>
            <w:shd w:val="clear" w:color="auto" w:fill="D8D8D8"/>
            <w:noWrap/>
            <w:vAlign w:val="center"/>
            <w:hideMark/>
          </w:tcPr>
          <w:p w14:paraId="3BD15F4A" w14:textId="77777777" w:rsidR="00AE2A35" w:rsidRPr="00BE536E" w:rsidRDefault="00AE2A35">
            <w:pPr>
              <w:ind w:left="360"/>
              <w:jc w:val="center"/>
              <w:rPr>
                <w:rFonts w:ascii="Verdana" w:hAnsi="Verdana"/>
                <w:b/>
                <w:bCs/>
                <w:sz w:val="20"/>
                <w:szCs w:val="20"/>
              </w:rPr>
            </w:pPr>
            <w:r w:rsidRPr="00BE536E">
              <w:rPr>
                <w:rFonts w:ascii="Verdana" w:hAnsi="Verdana"/>
                <w:b/>
                <w:bCs/>
                <w:sz w:val="20"/>
                <w:szCs w:val="20"/>
              </w:rPr>
              <w:t>Fitch</w:t>
            </w:r>
          </w:p>
        </w:tc>
      </w:tr>
      <w:tr w:rsidR="00AE2A35" w:rsidRPr="00BE536E" w14:paraId="1FAE071C" w14:textId="77777777" w:rsidTr="00AE2A35">
        <w:trPr>
          <w:trHeight w:val="345"/>
          <w:jc w:val="center"/>
        </w:trPr>
        <w:tc>
          <w:tcPr>
            <w:tcW w:w="1661" w:type="dxa"/>
            <w:vMerge/>
            <w:tcBorders>
              <w:top w:val="single" w:sz="8" w:space="0" w:color="auto"/>
              <w:left w:val="single" w:sz="8" w:space="0" w:color="auto"/>
              <w:bottom w:val="single" w:sz="8" w:space="0" w:color="000000"/>
              <w:right w:val="single" w:sz="8" w:space="0" w:color="auto"/>
            </w:tcBorders>
            <w:vAlign w:val="center"/>
            <w:hideMark/>
          </w:tcPr>
          <w:p w14:paraId="6C1B30B6" w14:textId="77777777" w:rsidR="00AE2A35" w:rsidRPr="00BE536E" w:rsidRDefault="00AE2A35">
            <w:pPr>
              <w:spacing w:after="0" w:line="240" w:lineRule="auto"/>
              <w:rPr>
                <w:rFonts w:ascii="Verdana" w:hAnsi="Verdana"/>
                <w:b/>
                <w:bCs/>
                <w:sz w:val="20"/>
                <w:szCs w:val="20"/>
              </w:rPr>
            </w:pPr>
          </w:p>
        </w:tc>
        <w:tc>
          <w:tcPr>
            <w:tcW w:w="1458" w:type="dxa"/>
            <w:vMerge/>
            <w:tcBorders>
              <w:top w:val="single" w:sz="8" w:space="0" w:color="auto"/>
              <w:left w:val="single" w:sz="8" w:space="0" w:color="auto"/>
              <w:bottom w:val="single" w:sz="8" w:space="0" w:color="000000"/>
              <w:right w:val="single" w:sz="8" w:space="0" w:color="auto"/>
            </w:tcBorders>
            <w:vAlign w:val="center"/>
            <w:hideMark/>
          </w:tcPr>
          <w:p w14:paraId="6A28B724" w14:textId="77777777" w:rsidR="00AE2A35" w:rsidRPr="00BE536E" w:rsidRDefault="00AE2A35">
            <w:pPr>
              <w:spacing w:after="0" w:line="240" w:lineRule="auto"/>
              <w:rPr>
                <w:rFonts w:ascii="Verdana" w:hAnsi="Verdana"/>
                <w:b/>
                <w:bCs/>
                <w:sz w:val="20"/>
                <w:szCs w:val="20"/>
              </w:rPr>
            </w:pPr>
          </w:p>
        </w:tc>
        <w:tc>
          <w:tcPr>
            <w:tcW w:w="2156" w:type="dxa"/>
            <w:tcBorders>
              <w:top w:val="nil"/>
              <w:left w:val="nil"/>
              <w:bottom w:val="single" w:sz="8" w:space="0" w:color="auto"/>
              <w:right w:val="single" w:sz="8" w:space="0" w:color="auto"/>
            </w:tcBorders>
            <w:shd w:val="clear" w:color="auto" w:fill="F2F2F2"/>
            <w:vAlign w:val="center"/>
            <w:hideMark/>
          </w:tcPr>
          <w:p w14:paraId="3706D830" w14:textId="77777777" w:rsidR="00AE2A35" w:rsidRPr="00BE536E" w:rsidRDefault="00AE2A35">
            <w:pPr>
              <w:jc w:val="center"/>
              <w:rPr>
                <w:rFonts w:ascii="Verdana" w:hAnsi="Verdana"/>
                <w:b/>
                <w:bCs/>
                <w:sz w:val="20"/>
                <w:szCs w:val="20"/>
              </w:rPr>
            </w:pPr>
            <w:r w:rsidRPr="00BE536E">
              <w:rPr>
                <w:rFonts w:ascii="Verdana" w:hAnsi="Verdana"/>
                <w:b/>
                <w:bCs/>
                <w:sz w:val="20"/>
                <w:szCs w:val="20"/>
              </w:rPr>
              <w:t>Международная шкала</w:t>
            </w:r>
          </w:p>
        </w:tc>
        <w:tc>
          <w:tcPr>
            <w:tcW w:w="2462" w:type="dxa"/>
            <w:tcBorders>
              <w:top w:val="nil"/>
              <w:left w:val="nil"/>
              <w:bottom w:val="single" w:sz="8" w:space="0" w:color="auto"/>
              <w:right w:val="single" w:sz="8" w:space="0" w:color="auto"/>
            </w:tcBorders>
            <w:shd w:val="clear" w:color="auto" w:fill="F2F2F2"/>
            <w:vAlign w:val="center"/>
            <w:hideMark/>
          </w:tcPr>
          <w:p w14:paraId="1CA089CC" w14:textId="77777777" w:rsidR="00AE2A35" w:rsidRPr="00BE536E" w:rsidRDefault="00AE2A35">
            <w:pPr>
              <w:jc w:val="center"/>
              <w:rPr>
                <w:rFonts w:ascii="Verdana" w:hAnsi="Verdana"/>
                <w:b/>
                <w:bCs/>
                <w:sz w:val="20"/>
                <w:szCs w:val="20"/>
              </w:rPr>
            </w:pPr>
            <w:r w:rsidRPr="00BE536E">
              <w:rPr>
                <w:rFonts w:ascii="Verdana" w:hAnsi="Verdana"/>
                <w:b/>
                <w:bCs/>
                <w:sz w:val="20"/>
                <w:szCs w:val="20"/>
              </w:rPr>
              <w:t>Международная шкала</w:t>
            </w:r>
          </w:p>
        </w:tc>
        <w:tc>
          <w:tcPr>
            <w:tcW w:w="2152" w:type="dxa"/>
            <w:tcBorders>
              <w:top w:val="nil"/>
              <w:left w:val="nil"/>
              <w:bottom w:val="single" w:sz="8" w:space="0" w:color="auto"/>
              <w:right w:val="single" w:sz="8" w:space="0" w:color="auto"/>
            </w:tcBorders>
            <w:shd w:val="clear" w:color="auto" w:fill="F2F2F2"/>
            <w:vAlign w:val="center"/>
            <w:hideMark/>
          </w:tcPr>
          <w:p w14:paraId="55D32136" w14:textId="77777777" w:rsidR="00AE2A35" w:rsidRPr="00BE536E" w:rsidRDefault="00AE2A35">
            <w:pPr>
              <w:jc w:val="center"/>
              <w:rPr>
                <w:rFonts w:ascii="Verdana" w:hAnsi="Verdana"/>
                <w:b/>
                <w:bCs/>
                <w:sz w:val="20"/>
                <w:szCs w:val="20"/>
              </w:rPr>
            </w:pPr>
            <w:r w:rsidRPr="00BE536E">
              <w:rPr>
                <w:rFonts w:ascii="Verdana" w:hAnsi="Verdana"/>
                <w:b/>
                <w:bCs/>
                <w:sz w:val="20"/>
                <w:szCs w:val="20"/>
              </w:rPr>
              <w:t>Международная шкала</w:t>
            </w:r>
          </w:p>
        </w:tc>
      </w:tr>
      <w:tr w:rsidR="00AE2A35" w:rsidRPr="00BE536E" w14:paraId="689AF4F7"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25385A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093A3DC5"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1A605EB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Aaa</w:t>
            </w:r>
          </w:p>
        </w:tc>
        <w:tc>
          <w:tcPr>
            <w:tcW w:w="2462" w:type="dxa"/>
            <w:tcBorders>
              <w:top w:val="nil"/>
              <w:left w:val="nil"/>
              <w:bottom w:val="single" w:sz="8" w:space="0" w:color="auto"/>
              <w:right w:val="single" w:sz="8" w:space="0" w:color="auto"/>
            </w:tcBorders>
            <w:shd w:val="clear" w:color="auto" w:fill="DEEAF6"/>
            <w:vAlign w:val="bottom"/>
            <w:hideMark/>
          </w:tcPr>
          <w:p w14:paraId="7E1F975B"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AAA</w:t>
            </w:r>
          </w:p>
        </w:tc>
        <w:tc>
          <w:tcPr>
            <w:tcW w:w="2152" w:type="dxa"/>
            <w:tcBorders>
              <w:top w:val="nil"/>
              <w:left w:val="nil"/>
              <w:bottom w:val="single" w:sz="8" w:space="0" w:color="auto"/>
              <w:right w:val="single" w:sz="8" w:space="0" w:color="auto"/>
            </w:tcBorders>
            <w:shd w:val="clear" w:color="auto" w:fill="DEEAF6"/>
            <w:noWrap/>
            <w:vAlign w:val="bottom"/>
            <w:hideMark/>
          </w:tcPr>
          <w:p w14:paraId="1CFE735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AAA</w:t>
            </w:r>
          </w:p>
        </w:tc>
      </w:tr>
      <w:tr w:rsidR="00AE2A35" w:rsidRPr="00BE536E" w14:paraId="28F82B11"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BB4A251"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7BC3B731"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1E57D4BB"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Aa1</w:t>
            </w:r>
          </w:p>
        </w:tc>
        <w:tc>
          <w:tcPr>
            <w:tcW w:w="2462" w:type="dxa"/>
            <w:tcBorders>
              <w:top w:val="nil"/>
              <w:left w:val="nil"/>
              <w:bottom w:val="single" w:sz="8" w:space="0" w:color="auto"/>
              <w:right w:val="single" w:sz="8" w:space="0" w:color="auto"/>
            </w:tcBorders>
            <w:shd w:val="clear" w:color="auto" w:fill="DEEAF6"/>
            <w:vAlign w:val="bottom"/>
            <w:hideMark/>
          </w:tcPr>
          <w:p w14:paraId="2A88BC3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5AA938E2"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r>
      <w:tr w:rsidR="00AE2A35" w:rsidRPr="00BE536E" w14:paraId="188D1EB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398F368"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2DBEBA85"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09063CB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Aa2</w:t>
            </w:r>
          </w:p>
        </w:tc>
        <w:tc>
          <w:tcPr>
            <w:tcW w:w="2462" w:type="dxa"/>
            <w:tcBorders>
              <w:top w:val="nil"/>
              <w:left w:val="nil"/>
              <w:bottom w:val="single" w:sz="8" w:space="0" w:color="auto"/>
              <w:right w:val="single" w:sz="8" w:space="0" w:color="auto"/>
            </w:tcBorders>
            <w:shd w:val="clear" w:color="auto" w:fill="DEEAF6"/>
            <w:vAlign w:val="bottom"/>
            <w:hideMark/>
          </w:tcPr>
          <w:p w14:paraId="4F53D50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5E204F3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r>
      <w:tr w:rsidR="00AE2A35" w:rsidRPr="00BE536E" w14:paraId="38578393"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8DF6156"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2CA615CE"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7A9F598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Aa3</w:t>
            </w:r>
          </w:p>
        </w:tc>
        <w:tc>
          <w:tcPr>
            <w:tcW w:w="2462" w:type="dxa"/>
            <w:tcBorders>
              <w:top w:val="nil"/>
              <w:left w:val="nil"/>
              <w:bottom w:val="single" w:sz="8" w:space="0" w:color="auto"/>
              <w:right w:val="single" w:sz="8" w:space="0" w:color="auto"/>
            </w:tcBorders>
            <w:shd w:val="clear" w:color="auto" w:fill="DEEAF6"/>
            <w:vAlign w:val="bottom"/>
            <w:hideMark/>
          </w:tcPr>
          <w:p w14:paraId="4E3A53C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2EACDAE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r>
      <w:tr w:rsidR="00AE2A35" w:rsidRPr="00BE536E" w14:paraId="04A33D34"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05F7134"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3886805A"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1AF6D9D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A1</w:t>
            </w:r>
          </w:p>
        </w:tc>
        <w:tc>
          <w:tcPr>
            <w:tcW w:w="2462" w:type="dxa"/>
            <w:tcBorders>
              <w:top w:val="nil"/>
              <w:left w:val="nil"/>
              <w:bottom w:val="single" w:sz="8" w:space="0" w:color="auto"/>
              <w:right w:val="single" w:sz="8" w:space="0" w:color="auto"/>
            </w:tcBorders>
            <w:shd w:val="clear" w:color="auto" w:fill="DEEAF6"/>
            <w:vAlign w:val="bottom"/>
            <w:hideMark/>
          </w:tcPr>
          <w:p w14:paraId="0B0F91C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6F5756A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r>
      <w:tr w:rsidR="00AE2A35" w:rsidRPr="00BE536E" w14:paraId="3170927D"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56F97C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251EADB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24FB526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A2</w:t>
            </w:r>
          </w:p>
        </w:tc>
        <w:tc>
          <w:tcPr>
            <w:tcW w:w="2462" w:type="dxa"/>
            <w:tcBorders>
              <w:top w:val="nil"/>
              <w:left w:val="nil"/>
              <w:bottom w:val="single" w:sz="8" w:space="0" w:color="auto"/>
              <w:right w:val="single" w:sz="8" w:space="0" w:color="auto"/>
            </w:tcBorders>
            <w:shd w:val="clear" w:color="auto" w:fill="DEEAF6"/>
            <w:vAlign w:val="bottom"/>
            <w:hideMark/>
          </w:tcPr>
          <w:p w14:paraId="5895C642"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04E3C7B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r>
      <w:tr w:rsidR="00AE2A35" w:rsidRPr="00BE536E" w14:paraId="78A1D828"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6B0A04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01026A1E"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54ADA09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A3</w:t>
            </w:r>
          </w:p>
        </w:tc>
        <w:tc>
          <w:tcPr>
            <w:tcW w:w="2462" w:type="dxa"/>
            <w:tcBorders>
              <w:top w:val="nil"/>
              <w:left w:val="nil"/>
              <w:bottom w:val="single" w:sz="8" w:space="0" w:color="auto"/>
              <w:right w:val="single" w:sz="8" w:space="0" w:color="auto"/>
            </w:tcBorders>
            <w:shd w:val="clear" w:color="auto" w:fill="DEEAF6"/>
            <w:vAlign w:val="bottom"/>
            <w:hideMark/>
          </w:tcPr>
          <w:p w14:paraId="23F6BAB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4B64E49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r>
      <w:tr w:rsidR="00AE2A35" w:rsidRPr="00BE536E" w14:paraId="7728337A"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3EE60E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1B09619B"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51F2346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Baa1</w:t>
            </w:r>
          </w:p>
        </w:tc>
        <w:tc>
          <w:tcPr>
            <w:tcW w:w="2462" w:type="dxa"/>
            <w:tcBorders>
              <w:top w:val="nil"/>
              <w:left w:val="nil"/>
              <w:bottom w:val="single" w:sz="8" w:space="0" w:color="auto"/>
              <w:right w:val="single" w:sz="8" w:space="0" w:color="auto"/>
            </w:tcBorders>
            <w:shd w:val="clear" w:color="auto" w:fill="DEEAF6"/>
            <w:vAlign w:val="bottom"/>
            <w:hideMark/>
          </w:tcPr>
          <w:p w14:paraId="53D0222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72BA7BB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r>
      <w:tr w:rsidR="00AE2A35" w:rsidRPr="00BE536E" w14:paraId="1DAEA50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C4BCB07"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62B8A12F"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600C798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Baa2</w:t>
            </w:r>
          </w:p>
        </w:tc>
        <w:tc>
          <w:tcPr>
            <w:tcW w:w="2462" w:type="dxa"/>
            <w:tcBorders>
              <w:top w:val="nil"/>
              <w:left w:val="nil"/>
              <w:bottom w:val="single" w:sz="8" w:space="0" w:color="auto"/>
              <w:right w:val="single" w:sz="8" w:space="0" w:color="auto"/>
            </w:tcBorders>
            <w:shd w:val="clear" w:color="auto" w:fill="DEEAF6"/>
            <w:vAlign w:val="bottom"/>
            <w:hideMark/>
          </w:tcPr>
          <w:p w14:paraId="599E96F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34117B29"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r>
      <w:tr w:rsidR="00AE2A35" w:rsidRPr="00BE536E" w14:paraId="4C4FADB0"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FFE65F8"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AAA(RU)</w:t>
            </w:r>
          </w:p>
        </w:tc>
        <w:tc>
          <w:tcPr>
            <w:tcW w:w="1458" w:type="dxa"/>
            <w:tcBorders>
              <w:top w:val="nil"/>
              <w:left w:val="nil"/>
              <w:bottom w:val="single" w:sz="8" w:space="0" w:color="auto"/>
              <w:right w:val="single" w:sz="8" w:space="0" w:color="auto"/>
            </w:tcBorders>
            <w:shd w:val="clear" w:color="auto" w:fill="DEEAF6"/>
            <w:vAlign w:val="bottom"/>
            <w:hideMark/>
          </w:tcPr>
          <w:p w14:paraId="6D9AC62A"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ruAAA</w:t>
            </w:r>
          </w:p>
        </w:tc>
        <w:tc>
          <w:tcPr>
            <w:tcW w:w="2156" w:type="dxa"/>
            <w:tcBorders>
              <w:top w:val="nil"/>
              <w:left w:val="nil"/>
              <w:bottom w:val="single" w:sz="8" w:space="0" w:color="auto"/>
              <w:right w:val="single" w:sz="8" w:space="0" w:color="auto"/>
            </w:tcBorders>
            <w:shd w:val="clear" w:color="auto" w:fill="DEEAF6"/>
            <w:noWrap/>
            <w:vAlign w:val="bottom"/>
            <w:hideMark/>
          </w:tcPr>
          <w:p w14:paraId="65B128C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Baa3</w:t>
            </w:r>
          </w:p>
        </w:tc>
        <w:tc>
          <w:tcPr>
            <w:tcW w:w="2462" w:type="dxa"/>
            <w:tcBorders>
              <w:top w:val="nil"/>
              <w:left w:val="nil"/>
              <w:bottom w:val="single" w:sz="8" w:space="0" w:color="auto"/>
              <w:right w:val="single" w:sz="8" w:space="0" w:color="auto"/>
            </w:tcBorders>
            <w:shd w:val="clear" w:color="auto" w:fill="DEEAF6"/>
            <w:vAlign w:val="bottom"/>
            <w:hideMark/>
          </w:tcPr>
          <w:p w14:paraId="5875326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231A8AE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r>
      <w:tr w:rsidR="00AE2A35" w:rsidRPr="00BE536E" w14:paraId="29E05547"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27C716C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1BC0871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440C225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208DAC3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76154AB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6F1C37E8"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E3455F1"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58D1CD86"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03C678C2"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70134D3E"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2F87282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46BCFCD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2899B405"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2B9BFDA8"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1A5EE7B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45EBBDC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7FDC6FE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4D8B0FA6"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B3D299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54722D86"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3B493E1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Ba2</w:t>
            </w:r>
          </w:p>
        </w:tc>
        <w:tc>
          <w:tcPr>
            <w:tcW w:w="2462" w:type="dxa"/>
            <w:tcBorders>
              <w:top w:val="nil"/>
              <w:left w:val="nil"/>
              <w:bottom w:val="single" w:sz="8" w:space="0" w:color="auto"/>
              <w:right w:val="single" w:sz="8" w:space="0" w:color="auto"/>
            </w:tcBorders>
            <w:shd w:val="clear" w:color="auto" w:fill="DEEAF6"/>
            <w:vAlign w:val="bottom"/>
            <w:hideMark/>
          </w:tcPr>
          <w:p w14:paraId="03DF5B4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2ABDC71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50A594CA"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AE434C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4FC9E8E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w:t>
            </w:r>
          </w:p>
        </w:tc>
        <w:tc>
          <w:tcPr>
            <w:tcW w:w="2156" w:type="dxa"/>
            <w:tcBorders>
              <w:top w:val="nil"/>
              <w:left w:val="nil"/>
              <w:bottom w:val="single" w:sz="8" w:space="0" w:color="auto"/>
              <w:right w:val="single" w:sz="8" w:space="0" w:color="auto"/>
            </w:tcBorders>
            <w:shd w:val="clear" w:color="auto" w:fill="DEEAF6"/>
            <w:noWrap/>
            <w:vAlign w:val="bottom"/>
            <w:hideMark/>
          </w:tcPr>
          <w:p w14:paraId="0FF980C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Ba2</w:t>
            </w:r>
          </w:p>
        </w:tc>
        <w:tc>
          <w:tcPr>
            <w:tcW w:w="2462" w:type="dxa"/>
            <w:tcBorders>
              <w:top w:val="nil"/>
              <w:left w:val="nil"/>
              <w:bottom w:val="single" w:sz="8" w:space="0" w:color="auto"/>
              <w:right w:val="single" w:sz="8" w:space="0" w:color="auto"/>
            </w:tcBorders>
            <w:shd w:val="clear" w:color="auto" w:fill="DEEAF6"/>
            <w:vAlign w:val="bottom"/>
            <w:hideMark/>
          </w:tcPr>
          <w:p w14:paraId="71CDFA0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05FCDC8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3F5FBF6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B49F07B"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5E9B9C7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w:t>
            </w:r>
          </w:p>
        </w:tc>
        <w:tc>
          <w:tcPr>
            <w:tcW w:w="2156" w:type="dxa"/>
            <w:tcBorders>
              <w:top w:val="nil"/>
              <w:left w:val="nil"/>
              <w:bottom w:val="single" w:sz="8" w:space="0" w:color="auto"/>
              <w:right w:val="single" w:sz="8" w:space="0" w:color="auto"/>
            </w:tcBorders>
            <w:shd w:val="clear" w:color="auto" w:fill="DEEAF6"/>
            <w:noWrap/>
            <w:vAlign w:val="bottom"/>
            <w:hideMark/>
          </w:tcPr>
          <w:p w14:paraId="12CF405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Ba3</w:t>
            </w:r>
          </w:p>
        </w:tc>
        <w:tc>
          <w:tcPr>
            <w:tcW w:w="2462" w:type="dxa"/>
            <w:tcBorders>
              <w:top w:val="nil"/>
              <w:left w:val="nil"/>
              <w:bottom w:val="single" w:sz="8" w:space="0" w:color="auto"/>
              <w:right w:val="single" w:sz="8" w:space="0" w:color="auto"/>
            </w:tcBorders>
            <w:shd w:val="clear" w:color="auto" w:fill="DEEAF6"/>
            <w:vAlign w:val="bottom"/>
            <w:hideMark/>
          </w:tcPr>
          <w:p w14:paraId="33E4877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612E116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3B819B39"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73F3B85"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2FDB3A61"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w:t>
            </w:r>
          </w:p>
        </w:tc>
        <w:tc>
          <w:tcPr>
            <w:tcW w:w="2156" w:type="dxa"/>
            <w:tcBorders>
              <w:top w:val="nil"/>
              <w:left w:val="nil"/>
              <w:bottom w:val="single" w:sz="8" w:space="0" w:color="auto"/>
              <w:right w:val="single" w:sz="8" w:space="0" w:color="auto"/>
            </w:tcBorders>
            <w:shd w:val="clear" w:color="auto" w:fill="DEEAF6"/>
            <w:noWrap/>
            <w:vAlign w:val="bottom"/>
            <w:hideMark/>
          </w:tcPr>
          <w:p w14:paraId="085B65A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Ba3</w:t>
            </w:r>
          </w:p>
        </w:tc>
        <w:tc>
          <w:tcPr>
            <w:tcW w:w="2462" w:type="dxa"/>
            <w:tcBorders>
              <w:top w:val="nil"/>
              <w:left w:val="nil"/>
              <w:bottom w:val="single" w:sz="8" w:space="0" w:color="auto"/>
              <w:right w:val="single" w:sz="8" w:space="0" w:color="auto"/>
            </w:tcBorders>
            <w:shd w:val="clear" w:color="auto" w:fill="DEEAF6"/>
            <w:vAlign w:val="bottom"/>
            <w:hideMark/>
          </w:tcPr>
          <w:p w14:paraId="35572C9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6C560819"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17ACFBBA"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62CA22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2955F18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ruBBB+</w:t>
            </w:r>
          </w:p>
        </w:tc>
        <w:tc>
          <w:tcPr>
            <w:tcW w:w="2156" w:type="dxa"/>
            <w:tcBorders>
              <w:top w:val="nil"/>
              <w:left w:val="nil"/>
              <w:bottom w:val="single" w:sz="8" w:space="0" w:color="auto"/>
              <w:right w:val="single" w:sz="8" w:space="0" w:color="auto"/>
            </w:tcBorders>
            <w:shd w:val="clear" w:color="auto" w:fill="DEEAF6"/>
            <w:noWrap/>
            <w:vAlign w:val="bottom"/>
            <w:hideMark/>
          </w:tcPr>
          <w:p w14:paraId="611FEB4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Ва3</w:t>
            </w:r>
          </w:p>
        </w:tc>
        <w:tc>
          <w:tcPr>
            <w:tcW w:w="2462" w:type="dxa"/>
            <w:tcBorders>
              <w:top w:val="nil"/>
              <w:left w:val="nil"/>
              <w:bottom w:val="single" w:sz="8" w:space="0" w:color="auto"/>
              <w:right w:val="single" w:sz="8" w:space="0" w:color="auto"/>
            </w:tcBorders>
            <w:shd w:val="clear" w:color="auto" w:fill="DEEAF6"/>
            <w:vAlign w:val="bottom"/>
            <w:hideMark/>
          </w:tcPr>
          <w:p w14:paraId="20932E09"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ВВ-</w:t>
            </w:r>
          </w:p>
        </w:tc>
        <w:tc>
          <w:tcPr>
            <w:tcW w:w="2152" w:type="dxa"/>
            <w:tcBorders>
              <w:top w:val="nil"/>
              <w:left w:val="nil"/>
              <w:bottom w:val="single" w:sz="8" w:space="0" w:color="auto"/>
              <w:right w:val="single" w:sz="8" w:space="0" w:color="auto"/>
            </w:tcBorders>
            <w:shd w:val="clear" w:color="auto" w:fill="DEEAF6"/>
            <w:noWrap/>
            <w:vAlign w:val="bottom"/>
            <w:hideMark/>
          </w:tcPr>
          <w:p w14:paraId="4959DE2B"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ВВ-</w:t>
            </w:r>
          </w:p>
        </w:tc>
      </w:tr>
      <w:tr w:rsidR="00AE2A35" w:rsidRPr="00BE536E" w14:paraId="584F51E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241DBD2"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139AEB8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ruBBB</w:t>
            </w:r>
          </w:p>
        </w:tc>
        <w:tc>
          <w:tcPr>
            <w:tcW w:w="2156" w:type="dxa"/>
            <w:tcBorders>
              <w:top w:val="nil"/>
              <w:left w:val="nil"/>
              <w:bottom w:val="single" w:sz="8" w:space="0" w:color="auto"/>
              <w:right w:val="single" w:sz="8" w:space="0" w:color="auto"/>
            </w:tcBorders>
            <w:shd w:val="clear" w:color="auto" w:fill="DEEAF6"/>
            <w:noWrap/>
            <w:vAlign w:val="bottom"/>
            <w:hideMark/>
          </w:tcPr>
          <w:p w14:paraId="394B0EA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B1</w:t>
            </w:r>
          </w:p>
        </w:tc>
        <w:tc>
          <w:tcPr>
            <w:tcW w:w="2462" w:type="dxa"/>
            <w:tcBorders>
              <w:top w:val="nil"/>
              <w:left w:val="nil"/>
              <w:bottom w:val="single" w:sz="8" w:space="0" w:color="auto"/>
              <w:right w:val="single" w:sz="8" w:space="0" w:color="auto"/>
            </w:tcBorders>
            <w:shd w:val="clear" w:color="auto" w:fill="DEEAF6"/>
            <w:vAlign w:val="bottom"/>
            <w:hideMark/>
          </w:tcPr>
          <w:p w14:paraId="0F7F2B9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1CB7F56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79C7C08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606F08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034729F1"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ruBBB</w:t>
            </w:r>
          </w:p>
        </w:tc>
        <w:tc>
          <w:tcPr>
            <w:tcW w:w="2156" w:type="dxa"/>
            <w:tcBorders>
              <w:top w:val="nil"/>
              <w:left w:val="nil"/>
              <w:bottom w:val="single" w:sz="8" w:space="0" w:color="auto"/>
              <w:right w:val="single" w:sz="8" w:space="0" w:color="auto"/>
            </w:tcBorders>
            <w:shd w:val="clear" w:color="auto" w:fill="DEEAF6"/>
            <w:noWrap/>
            <w:vAlign w:val="bottom"/>
            <w:hideMark/>
          </w:tcPr>
          <w:p w14:paraId="5C20B86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B1</w:t>
            </w:r>
          </w:p>
        </w:tc>
        <w:tc>
          <w:tcPr>
            <w:tcW w:w="2462" w:type="dxa"/>
            <w:tcBorders>
              <w:top w:val="nil"/>
              <w:left w:val="nil"/>
              <w:bottom w:val="single" w:sz="8" w:space="0" w:color="auto"/>
              <w:right w:val="single" w:sz="8" w:space="0" w:color="auto"/>
            </w:tcBorders>
            <w:shd w:val="clear" w:color="auto" w:fill="DEEAF6"/>
            <w:vAlign w:val="bottom"/>
            <w:hideMark/>
          </w:tcPr>
          <w:p w14:paraId="6E4FF81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0CECF6E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0C8C4BA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F31A3A7"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2E6028E4"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ruBBВ-</w:t>
            </w:r>
          </w:p>
        </w:tc>
        <w:tc>
          <w:tcPr>
            <w:tcW w:w="2156" w:type="dxa"/>
            <w:tcBorders>
              <w:top w:val="nil"/>
              <w:left w:val="nil"/>
              <w:bottom w:val="single" w:sz="8" w:space="0" w:color="auto"/>
              <w:right w:val="single" w:sz="8" w:space="0" w:color="auto"/>
            </w:tcBorders>
            <w:shd w:val="clear" w:color="auto" w:fill="DEEAF6"/>
            <w:noWrap/>
            <w:vAlign w:val="bottom"/>
            <w:hideMark/>
          </w:tcPr>
          <w:p w14:paraId="3A0D89F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B2</w:t>
            </w:r>
          </w:p>
        </w:tc>
        <w:tc>
          <w:tcPr>
            <w:tcW w:w="2462" w:type="dxa"/>
            <w:tcBorders>
              <w:top w:val="nil"/>
              <w:left w:val="nil"/>
              <w:bottom w:val="single" w:sz="8" w:space="0" w:color="auto"/>
              <w:right w:val="single" w:sz="8" w:space="0" w:color="auto"/>
            </w:tcBorders>
            <w:shd w:val="clear" w:color="auto" w:fill="DEEAF6"/>
            <w:vAlign w:val="bottom"/>
            <w:hideMark/>
          </w:tcPr>
          <w:p w14:paraId="3472D27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34005A1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2C8A6B8A"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D3EAA04"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lastRenderedPageBreak/>
              <w:t>BB+(RU)</w:t>
            </w:r>
          </w:p>
        </w:tc>
        <w:tc>
          <w:tcPr>
            <w:tcW w:w="1458" w:type="dxa"/>
            <w:tcBorders>
              <w:top w:val="nil"/>
              <w:left w:val="nil"/>
              <w:bottom w:val="single" w:sz="8" w:space="0" w:color="auto"/>
              <w:right w:val="single" w:sz="8" w:space="0" w:color="auto"/>
            </w:tcBorders>
            <w:shd w:val="clear" w:color="auto" w:fill="DEEAF6"/>
            <w:vAlign w:val="bottom"/>
            <w:hideMark/>
          </w:tcPr>
          <w:p w14:paraId="680D5AAE"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w:t>
            </w:r>
          </w:p>
        </w:tc>
        <w:tc>
          <w:tcPr>
            <w:tcW w:w="2156" w:type="dxa"/>
            <w:tcBorders>
              <w:top w:val="nil"/>
              <w:left w:val="nil"/>
              <w:bottom w:val="single" w:sz="8" w:space="0" w:color="auto"/>
              <w:right w:val="single" w:sz="8" w:space="0" w:color="auto"/>
            </w:tcBorders>
            <w:shd w:val="clear" w:color="auto" w:fill="DEEAF6"/>
            <w:noWrap/>
            <w:vAlign w:val="bottom"/>
            <w:hideMark/>
          </w:tcPr>
          <w:p w14:paraId="635CAF8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B2</w:t>
            </w:r>
          </w:p>
        </w:tc>
        <w:tc>
          <w:tcPr>
            <w:tcW w:w="2462" w:type="dxa"/>
            <w:tcBorders>
              <w:top w:val="nil"/>
              <w:left w:val="nil"/>
              <w:bottom w:val="single" w:sz="8" w:space="0" w:color="auto"/>
              <w:right w:val="single" w:sz="8" w:space="0" w:color="auto"/>
            </w:tcBorders>
            <w:shd w:val="clear" w:color="auto" w:fill="DEEAF6"/>
            <w:vAlign w:val="bottom"/>
            <w:hideMark/>
          </w:tcPr>
          <w:p w14:paraId="75C6EAF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6B30070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37BBDB91"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54C586F"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6CE98937"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w:t>
            </w:r>
          </w:p>
        </w:tc>
        <w:tc>
          <w:tcPr>
            <w:tcW w:w="2156" w:type="dxa"/>
            <w:tcBorders>
              <w:top w:val="nil"/>
              <w:left w:val="nil"/>
              <w:bottom w:val="single" w:sz="8" w:space="0" w:color="auto"/>
              <w:right w:val="single" w:sz="8" w:space="0" w:color="auto"/>
            </w:tcBorders>
            <w:shd w:val="clear" w:color="auto" w:fill="DEEAF6"/>
            <w:noWrap/>
            <w:vAlign w:val="bottom"/>
            <w:hideMark/>
          </w:tcPr>
          <w:p w14:paraId="5641FC9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B3</w:t>
            </w:r>
          </w:p>
        </w:tc>
        <w:tc>
          <w:tcPr>
            <w:tcW w:w="2462" w:type="dxa"/>
            <w:tcBorders>
              <w:top w:val="nil"/>
              <w:left w:val="nil"/>
              <w:bottom w:val="single" w:sz="8" w:space="0" w:color="auto"/>
              <w:right w:val="single" w:sz="8" w:space="0" w:color="auto"/>
            </w:tcBorders>
            <w:shd w:val="clear" w:color="auto" w:fill="DEEAF6"/>
            <w:vAlign w:val="bottom"/>
            <w:hideMark/>
          </w:tcPr>
          <w:p w14:paraId="3C83FF3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2EE2394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1CDE3A5F"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CE318C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6F3B431E"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w:t>
            </w:r>
          </w:p>
        </w:tc>
        <w:tc>
          <w:tcPr>
            <w:tcW w:w="2156" w:type="dxa"/>
            <w:tcBorders>
              <w:top w:val="nil"/>
              <w:left w:val="nil"/>
              <w:bottom w:val="single" w:sz="8" w:space="0" w:color="auto"/>
              <w:right w:val="single" w:sz="8" w:space="0" w:color="auto"/>
            </w:tcBorders>
            <w:shd w:val="clear" w:color="auto" w:fill="DEEAF6"/>
            <w:noWrap/>
            <w:vAlign w:val="bottom"/>
            <w:hideMark/>
          </w:tcPr>
          <w:p w14:paraId="4F8ABD2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Саа1</w:t>
            </w:r>
          </w:p>
        </w:tc>
        <w:tc>
          <w:tcPr>
            <w:tcW w:w="2462" w:type="dxa"/>
            <w:tcBorders>
              <w:top w:val="nil"/>
              <w:left w:val="nil"/>
              <w:bottom w:val="single" w:sz="8" w:space="0" w:color="auto"/>
              <w:right w:val="single" w:sz="8" w:space="0" w:color="auto"/>
            </w:tcBorders>
            <w:shd w:val="clear" w:color="auto" w:fill="DEEAF6"/>
            <w:vAlign w:val="bottom"/>
            <w:hideMark/>
          </w:tcPr>
          <w:p w14:paraId="1887405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17BBDB7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6D03F46F"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4720A75"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7607E9F7"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w:t>
            </w:r>
          </w:p>
        </w:tc>
        <w:tc>
          <w:tcPr>
            <w:tcW w:w="2156" w:type="dxa"/>
            <w:tcBorders>
              <w:top w:val="nil"/>
              <w:left w:val="nil"/>
              <w:bottom w:val="single" w:sz="8" w:space="0" w:color="auto"/>
              <w:right w:val="single" w:sz="8" w:space="0" w:color="auto"/>
            </w:tcBorders>
            <w:shd w:val="clear" w:color="auto" w:fill="DEEAF6"/>
            <w:noWrap/>
            <w:vAlign w:val="bottom"/>
            <w:hideMark/>
          </w:tcPr>
          <w:p w14:paraId="28A7A32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Саа2</w:t>
            </w:r>
          </w:p>
        </w:tc>
        <w:tc>
          <w:tcPr>
            <w:tcW w:w="2462" w:type="dxa"/>
            <w:tcBorders>
              <w:top w:val="nil"/>
              <w:left w:val="nil"/>
              <w:bottom w:val="single" w:sz="8" w:space="0" w:color="auto"/>
              <w:right w:val="single" w:sz="8" w:space="0" w:color="auto"/>
            </w:tcBorders>
            <w:shd w:val="clear" w:color="auto" w:fill="DEEAF6"/>
            <w:vAlign w:val="bottom"/>
            <w:hideMark/>
          </w:tcPr>
          <w:p w14:paraId="422B549B"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135989B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286C045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BC53BD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68946D35"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w:t>
            </w:r>
          </w:p>
        </w:tc>
        <w:tc>
          <w:tcPr>
            <w:tcW w:w="2156" w:type="dxa"/>
            <w:tcBorders>
              <w:top w:val="nil"/>
              <w:left w:val="nil"/>
              <w:bottom w:val="single" w:sz="8" w:space="0" w:color="auto"/>
              <w:right w:val="single" w:sz="8" w:space="0" w:color="auto"/>
            </w:tcBorders>
            <w:shd w:val="clear" w:color="auto" w:fill="DEEAF6"/>
            <w:noWrap/>
            <w:vAlign w:val="bottom"/>
            <w:hideMark/>
          </w:tcPr>
          <w:p w14:paraId="212E7182"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Саа3</w:t>
            </w:r>
          </w:p>
        </w:tc>
        <w:tc>
          <w:tcPr>
            <w:tcW w:w="2462" w:type="dxa"/>
            <w:tcBorders>
              <w:top w:val="nil"/>
              <w:left w:val="nil"/>
              <w:bottom w:val="single" w:sz="8" w:space="0" w:color="auto"/>
              <w:right w:val="single" w:sz="8" w:space="0" w:color="auto"/>
            </w:tcBorders>
            <w:shd w:val="clear" w:color="auto" w:fill="DEEAF6"/>
            <w:vAlign w:val="bottom"/>
            <w:hideMark/>
          </w:tcPr>
          <w:p w14:paraId="0DC5473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644AE62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36EB6D7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2F04557"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66A1077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w:t>
            </w:r>
          </w:p>
        </w:tc>
        <w:tc>
          <w:tcPr>
            <w:tcW w:w="2156" w:type="dxa"/>
            <w:tcBorders>
              <w:top w:val="nil"/>
              <w:left w:val="nil"/>
              <w:bottom w:val="single" w:sz="8" w:space="0" w:color="auto"/>
              <w:right w:val="single" w:sz="8" w:space="0" w:color="auto"/>
            </w:tcBorders>
            <w:shd w:val="clear" w:color="auto" w:fill="DEEAF6"/>
            <w:noWrap/>
            <w:vAlign w:val="bottom"/>
            <w:hideMark/>
          </w:tcPr>
          <w:p w14:paraId="4AA8AA3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Ca</w:t>
            </w:r>
          </w:p>
        </w:tc>
        <w:tc>
          <w:tcPr>
            <w:tcW w:w="2462" w:type="dxa"/>
            <w:tcBorders>
              <w:top w:val="nil"/>
              <w:left w:val="nil"/>
              <w:bottom w:val="single" w:sz="8" w:space="0" w:color="auto"/>
              <w:right w:val="single" w:sz="8" w:space="0" w:color="auto"/>
            </w:tcBorders>
            <w:shd w:val="clear" w:color="auto" w:fill="DEEAF6"/>
            <w:vAlign w:val="bottom"/>
            <w:hideMark/>
          </w:tcPr>
          <w:p w14:paraId="4397B49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w:t>
            </w:r>
          </w:p>
        </w:tc>
        <w:tc>
          <w:tcPr>
            <w:tcW w:w="2152" w:type="dxa"/>
            <w:tcBorders>
              <w:top w:val="nil"/>
              <w:left w:val="nil"/>
              <w:bottom w:val="single" w:sz="8" w:space="0" w:color="auto"/>
              <w:right w:val="single" w:sz="8" w:space="0" w:color="auto"/>
            </w:tcBorders>
            <w:shd w:val="clear" w:color="auto" w:fill="DEEAF6"/>
            <w:noWrap/>
            <w:vAlign w:val="bottom"/>
            <w:hideMark/>
          </w:tcPr>
          <w:p w14:paraId="2DF8A55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19ADC65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0D45CC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CCC(RU)</w:t>
            </w:r>
          </w:p>
        </w:tc>
        <w:tc>
          <w:tcPr>
            <w:tcW w:w="1458" w:type="dxa"/>
            <w:tcBorders>
              <w:top w:val="nil"/>
              <w:left w:val="nil"/>
              <w:bottom w:val="single" w:sz="8" w:space="0" w:color="auto"/>
              <w:right w:val="single" w:sz="8" w:space="0" w:color="auto"/>
            </w:tcBorders>
            <w:shd w:val="clear" w:color="auto" w:fill="DEEAF6"/>
            <w:vAlign w:val="bottom"/>
            <w:hideMark/>
          </w:tcPr>
          <w:p w14:paraId="6DF82E9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ruCCC</w:t>
            </w:r>
          </w:p>
        </w:tc>
        <w:tc>
          <w:tcPr>
            <w:tcW w:w="2156" w:type="dxa"/>
            <w:tcBorders>
              <w:top w:val="nil"/>
              <w:left w:val="nil"/>
              <w:bottom w:val="single" w:sz="8" w:space="0" w:color="auto"/>
              <w:right w:val="single" w:sz="8" w:space="0" w:color="auto"/>
            </w:tcBorders>
            <w:shd w:val="clear" w:color="auto" w:fill="DEEAF6"/>
            <w:noWrap/>
            <w:vAlign w:val="bottom"/>
            <w:hideMark/>
          </w:tcPr>
          <w:p w14:paraId="6520FB3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3D52BC4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2A0EED2E"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308EE15D"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A9DEBA4"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CC(RU)</w:t>
            </w:r>
          </w:p>
        </w:tc>
        <w:tc>
          <w:tcPr>
            <w:tcW w:w="1458" w:type="dxa"/>
            <w:tcBorders>
              <w:top w:val="nil"/>
              <w:left w:val="nil"/>
              <w:bottom w:val="single" w:sz="8" w:space="0" w:color="auto"/>
              <w:right w:val="single" w:sz="8" w:space="0" w:color="auto"/>
            </w:tcBorders>
            <w:shd w:val="clear" w:color="auto" w:fill="DEEAF6"/>
            <w:vAlign w:val="bottom"/>
            <w:hideMark/>
          </w:tcPr>
          <w:p w14:paraId="5765C0BA"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ruCC</w:t>
            </w:r>
          </w:p>
        </w:tc>
        <w:tc>
          <w:tcPr>
            <w:tcW w:w="2156" w:type="dxa"/>
            <w:tcBorders>
              <w:top w:val="nil"/>
              <w:left w:val="nil"/>
              <w:bottom w:val="single" w:sz="8" w:space="0" w:color="auto"/>
              <w:right w:val="single" w:sz="8" w:space="0" w:color="auto"/>
            </w:tcBorders>
            <w:shd w:val="clear" w:color="auto" w:fill="DEEAF6"/>
            <w:noWrap/>
            <w:vAlign w:val="bottom"/>
            <w:hideMark/>
          </w:tcPr>
          <w:p w14:paraId="759F8AB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049984F2"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108DF22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2153C419"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4686C8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C(RU)</w:t>
            </w:r>
          </w:p>
        </w:tc>
        <w:tc>
          <w:tcPr>
            <w:tcW w:w="1458" w:type="dxa"/>
            <w:tcBorders>
              <w:top w:val="nil"/>
              <w:left w:val="nil"/>
              <w:bottom w:val="single" w:sz="8" w:space="0" w:color="auto"/>
              <w:right w:val="single" w:sz="8" w:space="0" w:color="auto"/>
            </w:tcBorders>
            <w:shd w:val="clear" w:color="auto" w:fill="DEEAF6"/>
            <w:vAlign w:val="bottom"/>
            <w:hideMark/>
          </w:tcPr>
          <w:p w14:paraId="651926C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ruC</w:t>
            </w:r>
          </w:p>
        </w:tc>
        <w:tc>
          <w:tcPr>
            <w:tcW w:w="2156" w:type="dxa"/>
            <w:tcBorders>
              <w:top w:val="nil"/>
              <w:left w:val="nil"/>
              <w:bottom w:val="single" w:sz="8" w:space="0" w:color="auto"/>
              <w:right w:val="single" w:sz="8" w:space="0" w:color="auto"/>
            </w:tcBorders>
            <w:shd w:val="clear" w:color="auto" w:fill="DEEAF6"/>
            <w:noWrap/>
            <w:vAlign w:val="bottom"/>
            <w:hideMark/>
          </w:tcPr>
          <w:p w14:paraId="10F26EB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3F8D95E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35BCA6B2"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bl>
    <w:p w14:paraId="2596A6DC" w14:textId="77777777" w:rsidR="00B82BB6" w:rsidRPr="00BE536E" w:rsidRDefault="00B82BB6" w:rsidP="006A2D0C">
      <w:pPr>
        <w:spacing w:line="360" w:lineRule="auto"/>
        <w:jc w:val="both"/>
        <w:rPr>
          <w:rFonts w:ascii="Verdana" w:hAnsi="Verdana"/>
        </w:rPr>
      </w:pPr>
    </w:p>
    <w:p w14:paraId="1F8C0D1B" w14:textId="77777777" w:rsidR="002B6276" w:rsidRPr="00BE536E" w:rsidRDefault="002B6276" w:rsidP="00AA424C">
      <w:pPr>
        <w:spacing w:after="0"/>
        <w:ind w:left="9923"/>
        <w:jc w:val="both"/>
        <w:rPr>
          <w:rFonts w:ascii="Verdana" w:hAnsi="Verdana" w:cs="Arial"/>
          <w:b/>
          <w:sz w:val="20"/>
          <w:szCs w:val="20"/>
        </w:rPr>
        <w:sectPr w:rsidR="002B6276" w:rsidRPr="00BE536E" w:rsidSect="00D41B68">
          <w:pgSz w:w="12240" w:h="15840"/>
          <w:pgMar w:top="1134" w:right="709" w:bottom="992" w:left="1701" w:header="720" w:footer="720" w:gutter="0"/>
          <w:cols w:space="720"/>
          <w:noEndnote/>
          <w:docGrid w:linePitch="299"/>
        </w:sectPr>
      </w:pPr>
    </w:p>
    <w:p w14:paraId="5ADF8DB6" w14:textId="77777777" w:rsidR="00AA424C"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20" w:name="_Toc27400764"/>
      <w:r w:rsidRPr="00BE536E">
        <w:rPr>
          <w:rFonts w:ascii="Verdana" w:hAnsi="Verdana" w:cs="Arial"/>
          <w:b w:val="0"/>
          <w:bCs w:val="0"/>
          <w:iCs w:val="0"/>
          <w:caps/>
          <w:smallCaps w:val="0"/>
          <w:color w:val="943634"/>
          <w:sz w:val="24"/>
        </w:rPr>
        <w:lastRenderedPageBreak/>
        <w:t xml:space="preserve">Приложение </w:t>
      </w:r>
      <w:r w:rsidR="001364C5" w:rsidRPr="00BE536E">
        <w:rPr>
          <w:rFonts w:ascii="Verdana" w:hAnsi="Verdana" w:cs="Arial"/>
          <w:b w:val="0"/>
          <w:bCs w:val="0"/>
          <w:iCs w:val="0"/>
          <w:caps/>
          <w:smallCaps w:val="0"/>
          <w:color w:val="943634"/>
          <w:sz w:val="24"/>
        </w:rPr>
        <w:t>6</w:t>
      </w:r>
      <w:r w:rsidRPr="00BE536E">
        <w:rPr>
          <w:rFonts w:ascii="Verdana" w:hAnsi="Verdana" w:cs="Arial"/>
          <w:b w:val="0"/>
          <w:bCs w:val="0"/>
          <w:iCs w:val="0"/>
          <w:caps/>
          <w:smallCaps w:val="0"/>
          <w:color w:val="943634"/>
          <w:sz w:val="24"/>
        </w:rPr>
        <w:t xml:space="preserve">. </w:t>
      </w:r>
      <w:r w:rsidR="00AA424C" w:rsidRPr="00BE536E">
        <w:rPr>
          <w:rFonts w:ascii="Verdana" w:hAnsi="Verdana" w:cs="Arial"/>
          <w:bCs w:val="0"/>
          <w:iCs w:val="0"/>
          <w:caps/>
          <w:smallCaps w:val="0"/>
          <w:color w:val="943634"/>
          <w:sz w:val="24"/>
        </w:rPr>
        <w:t>Кредиторская задолженность</w:t>
      </w:r>
      <w:bookmarkEnd w:id="20"/>
    </w:p>
    <w:tbl>
      <w:tblPr>
        <w:tblpPr w:leftFromText="180" w:rightFromText="180" w:vertAnchor="text" w:horzAnchor="page" w:tblpX="508" w:tblpY="601"/>
        <w:tblW w:w="1400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746"/>
        <w:gridCol w:w="3546"/>
        <w:gridCol w:w="3335"/>
        <w:gridCol w:w="3373"/>
      </w:tblGrid>
      <w:tr w:rsidR="00AA424C" w:rsidRPr="00BE536E" w14:paraId="4770ABE7" w14:textId="77777777" w:rsidTr="00567222">
        <w:tc>
          <w:tcPr>
            <w:tcW w:w="3746" w:type="dxa"/>
            <w:shd w:val="clear" w:color="auto" w:fill="A6A6A6"/>
          </w:tcPr>
          <w:p w14:paraId="4D4C7534" w14:textId="77777777" w:rsidR="00AA424C" w:rsidRPr="00BE536E" w:rsidRDefault="00AA424C" w:rsidP="00D11056">
            <w:pPr>
              <w:spacing w:after="0" w:line="240" w:lineRule="auto"/>
              <w:jc w:val="center"/>
              <w:rPr>
                <w:rFonts w:ascii="Verdana" w:hAnsi="Verdana"/>
                <w:b/>
                <w:sz w:val="18"/>
                <w:szCs w:val="20"/>
              </w:rPr>
            </w:pPr>
            <w:r w:rsidRPr="00BE536E">
              <w:rPr>
                <w:rFonts w:ascii="Verdana" w:hAnsi="Verdana"/>
                <w:b/>
                <w:sz w:val="18"/>
                <w:szCs w:val="20"/>
              </w:rPr>
              <w:t>Виды обязательств</w:t>
            </w:r>
          </w:p>
        </w:tc>
        <w:tc>
          <w:tcPr>
            <w:tcW w:w="3546" w:type="dxa"/>
            <w:shd w:val="clear" w:color="auto" w:fill="A6A6A6"/>
          </w:tcPr>
          <w:p w14:paraId="09392FEC" w14:textId="77777777" w:rsidR="00AA424C" w:rsidRPr="00BE536E" w:rsidRDefault="00AA424C" w:rsidP="00D11056">
            <w:pPr>
              <w:spacing w:after="0" w:line="240" w:lineRule="auto"/>
              <w:jc w:val="center"/>
              <w:rPr>
                <w:rFonts w:ascii="Verdana" w:hAnsi="Verdana"/>
                <w:b/>
                <w:sz w:val="18"/>
                <w:szCs w:val="20"/>
              </w:rPr>
            </w:pPr>
            <w:r w:rsidRPr="00BE536E">
              <w:rPr>
                <w:rFonts w:ascii="Verdana" w:eastAsia="Times New Roman" w:hAnsi="Verdana"/>
                <w:b/>
                <w:sz w:val="18"/>
                <w:szCs w:val="20"/>
                <w:lang w:eastAsia="ru-RU"/>
              </w:rPr>
              <w:t>Критерии признания</w:t>
            </w:r>
          </w:p>
        </w:tc>
        <w:tc>
          <w:tcPr>
            <w:tcW w:w="3335" w:type="dxa"/>
            <w:shd w:val="clear" w:color="auto" w:fill="A6A6A6"/>
          </w:tcPr>
          <w:p w14:paraId="71F03704" w14:textId="77777777" w:rsidR="00AA424C" w:rsidRPr="00BE536E" w:rsidRDefault="00AA424C" w:rsidP="00D11056">
            <w:pPr>
              <w:spacing w:after="0" w:line="240" w:lineRule="auto"/>
              <w:jc w:val="center"/>
              <w:rPr>
                <w:rFonts w:ascii="Verdana" w:hAnsi="Verdana"/>
                <w:b/>
                <w:sz w:val="18"/>
                <w:szCs w:val="20"/>
              </w:rPr>
            </w:pPr>
            <w:r w:rsidRPr="00BE536E">
              <w:rPr>
                <w:rFonts w:ascii="Verdana" w:hAnsi="Verdana"/>
                <w:b/>
                <w:sz w:val="18"/>
                <w:szCs w:val="20"/>
              </w:rPr>
              <w:t>Критерии прекращения признания</w:t>
            </w:r>
          </w:p>
        </w:tc>
        <w:tc>
          <w:tcPr>
            <w:tcW w:w="3373" w:type="dxa"/>
            <w:shd w:val="clear" w:color="auto" w:fill="A6A6A6"/>
          </w:tcPr>
          <w:p w14:paraId="277B7CD4" w14:textId="77777777" w:rsidR="00AA424C" w:rsidRPr="00BE536E" w:rsidRDefault="00AA424C" w:rsidP="00D11056">
            <w:pPr>
              <w:spacing w:after="0" w:line="240" w:lineRule="auto"/>
              <w:jc w:val="center"/>
              <w:rPr>
                <w:rFonts w:ascii="Verdana" w:hAnsi="Verdana"/>
                <w:b/>
                <w:sz w:val="18"/>
                <w:szCs w:val="20"/>
              </w:rPr>
            </w:pPr>
            <w:r w:rsidRPr="00BE536E">
              <w:rPr>
                <w:rFonts w:ascii="Verdana" w:hAnsi="Verdana"/>
                <w:b/>
                <w:bCs/>
                <w:sz w:val="18"/>
                <w:szCs w:val="20"/>
              </w:rPr>
              <w:t>Справедливая стоимость</w:t>
            </w:r>
          </w:p>
        </w:tc>
      </w:tr>
      <w:tr w:rsidR="00D917F9" w:rsidRPr="00BE536E" w14:paraId="16433B5F" w14:textId="77777777" w:rsidTr="00567222">
        <w:tc>
          <w:tcPr>
            <w:tcW w:w="3746" w:type="dxa"/>
            <w:shd w:val="clear" w:color="auto" w:fill="auto"/>
          </w:tcPr>
          <w:p w14:paraId="487FA36B" w14:textId="77777777" w:rsidR="00D917F9" w:rsidRPr="00BE536E" w:rsidRDefault="00D917F9" w:rsidP="00D917F9">
            <w:pPr>
              <w:spacing w:after="0" w:line="240" w:lineRule="auto"/>
              <w:jc w:val="both"/>
              <w:rPr>
                <w:rFonts w:ascii="Verdana" w:eastAsia="Times New Roman" w:hAnsi="Verdana"/>
                <w:bCs/>
                <w:color w:val="000000"/>
                <w:sz w:val="20"/>
                <w:szCs w:val="20"/>
                <w:lang w:eastAsia="ru-RU"/>
              </w:rPr>
            </w:pPr>
            <w:r w:rsidRPr="00BE536E">
              <w:rPr>
                <w:bCs/>
                <w:color w:val="000000"/>
                <w:sz w:val="24"/>
                <w:szCs w:val="24"/>
                <w:lang w:eastAsia="ru-RU"/>
              </w:rPr>
              <w:t>Кредиторская задолженность по сделкам купли-продажи имущества паевого инвестиционного фонда</w:t>
            </w:r>
            <w:r w:rsidRPr="00BE536E">
              <w:rPr>
                <w:sz w:val="24"/>
                <w:szCs w:val="24"/>
              </w:rPr>
              <w:t>.</w:t>
            </w:r>
          </w:p>
        </w:tc>
        <w:tc>
          <w:tcPr>
            <w:tcW w:w="3546" w:type="dxa"/>
            <w:shd w:val="clear" w:color="auto" w:fill="auto"/>
          </w:tcPr>
          <w:p w14:paraId="63AD2C4A" w14:textId="77777777" w:rsidR="00D917F9" w:rsidRPr="00BE536E" w:rsidRDefault="00D917F9" w:rsidP="00D917F9">
            <w:pPr>
              <w:spacing w:after="0" w:line="240" w:lineRule="auto"/>
              <w:jc w:val="both"/>
              <w:rPr>
                <w:rFonts w:ascii="Verdana" w:eastAsia="Times New Roman" w:hAnsi="Verdana"/>
                <w:bCs/>
                <w:color w:val="000000"/>
                <w:lang w:eastAsia="ru-RU"/>
              </w:rPr>
            </w:pPr>
            <w:r w:rsidRPr="00BE536E">
              <w:rPr>
                <w:bCs/>
                <w:color w:val="000000"/>
                <w:sz w:val="24"/>
                <w:szCs w:val="24"/>
                <w:lang w:eastAsia="ru-RU"/>
              </w:rPr>
              <w:t>Дата перехода  к ПИФ права собственности на имущество /поступление денежных средств на банковский/брокерский счет ПИФ от кредитора.</w:t>
            </w:r>
          </w:p>
        </w:tc>
        <w:tc>
          <w:tcPr>
            <w:tcW w:w="3335" w:type="dxa"/>
            <w:shd w:val="clear" w:color="auto" w:fill="auto"/>
          </w:tcPr>
          <w:p w14:paraId="05890CB8" w14:textId="77777777" w:rsidR="00D917F9" w:rsidRPr="00BE536E" w:rsidRDefault="00D917F9" w:rsidP="00D917F9">
            <w:pPr>
              <w:spacing w:after="0" w:line="240" w:lineRule="auto"/>
              <w:jc w:val="both"/>
              <w:rPr>
                <w:rFonts w:ascii="Verdana" w:eastAsia="Times New Roman" w:hAnsi="Verdana"/>
                <w:bCs/>
                <w:color w:val="000000"/>
                <w:sz w:val="20"/>
                <w:szCs w:val="20"/>
                <w:lang w:eastAsia="ru-RU"/>
              </w:rPr>
            </w:pPr>
            <w:r w:rsidRPr="00BE536E">
              <w:rPr>
                <w:bCs/>
                <w:color w:val="000000"/>
                <w:sz w:val="24"/>
                <w:szCs w:val="24"/>
                <w:lang w:eastAsia="ru-RU"/>
              </w:rPr>
              <w:t>Дата исполнения обязательств ПИФ по договору.</w:t>
            </w:r>
          </w:p>
        </w:tc>
        <w:tc>
          <w:tcPr>
            <w:tcW w:w="3373" w:type="dxa"/>
            <w:vMerge w:val="restart"/>
            <w:shd w:val="clear" w:color="auto" w:fill="auto"/>
            <w:vAlign w:val="center"/>
          </w:tcPr>
          <w:p w14:paraId="75B9AFA7" w14:textId="77777777" w:rsidR="00D917F9" w:rsidRPr="00BE536E" w:rsidRDefault="00D917F9" w:rsidP="00D917F9">
            <w:pPr>
              <w:spacing w:after="0" w:line="240" w:lineRule="auto"/>
              <w:jc w:val="both"/>
              <w:rPr>
                <w:rFonts w:ascii="Verdana" w:hAnsi="Verdana"/>
                <w:sz w:val="20"/>
                <w:szCs w:val="20"/>
              </w:rPr>
            </w:pPr>
            <w:r w:rsidRPr="00BE536E">
              <w:rPr>
                <w:rFonts w:ascii="Verdana" w:hAnsi="Verdana"/>
                <w:sz w:val="20"/>
                <w:szCs w:val="20"/>
              </w:rPr>
              <w:t>Справедливая стоимость обязательств, включается в расчет СЧА в размере ее остатка на дату определения СЧА. Не дисконтируется.</w:t>
            </w:r>
          </w:p>
          <w:p w14:paraId="6F949E70" w14:textId="77777777" w:rsidR="00D917F9" w:rsidRPr="00BE536E" w:rsidRDefault="00D917F9" w:rsidP="00D917F9">
            <w:pPr>
              <w:spacing w:after="0" w:line="240" w:lineRule="auto"/>
              <w:jc w:val="both"/>
              <w:rPr>
                <w:rFonts w:ascii="Verdana" w:hAnsi="Verdana"/>
                <w:sz w:val="20"/>
                <w:szCs w:val="20"/>
              </w:rPr>
            </w:pPr>
          </w:p>
          <w:p w14:paraId="338F29CC" w14:textId="77777777" w:rsidR="00D917F9" w:rsidRPr="00BE536E" w:rsidRDefault="00D917F9" w:rsidP="00D917F9">
            <w:pPr>
              <w:spacing w:after="0" w:line="240" w:lineRule="auto"/>
              <w:jc w:val="both"/>
              <w:rPr>
                <w:rFonts w:ascii="Verdana" w:hAnsi="Verdana"/>
                <w:sz w:val="20"/>
                <w:szCs w:val="20"/>
              </w:rPr>
            </w:pPr>
          </w:p>
        </w:tc>
      </w:tr>
      <w:tr w:rsidR="00934517" w:rsidRPr="00BE536E" w14:paraId="2E3F14EA" w14:textId="77777777" w:rsidTr="00567222">
        <w:tc>
          <w:tcPr>
            <w:tcW w:w="3746" w:type="dxa"/>
            <w:shd w:val="clear" w:color="auto" w:fill="auto"/>
            <w:vAlign w:val="center"/>
          </w:tcPr>
          <w:p w14:paraId="2C497132"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Кредиторская задолженность по выдаче </w:t>
            </w:r>
            <w:r w:rsidR="009F7EE6" w:rsidRPr="00BE536E">
              <w:rPr>
                <w:rFonts w:ascii="Verdana" w:eastAsia="Times New Roman" w:hAnsi="Verdana"/>
                <w:bCs/>
                <w:color w:val="000000"/>
                <w:sz w:val="20"/>
                <w:szCs w:val="20"/>
                <w:lang w:eastAsia="ru-RU"/>
              </w:rPr>
              <w:t xml:space="preserve">инвестиционных </w:t>
            </w:r>
            <w:r w:rsidRPr="00BE536E">
              <w:rPr>
                <w:rFonts w:ascii="Verdana" w:eastAsia="Times New Roman" w:hAnsi="Verdana"/>
                <w:bCs/>
                <w:color w:val="000000"/>
                <w:sz w:val="20"/>
                <w:szCs w:val="20"/>
                <w:lang w:eastAsia="ru-RU"/>
              </w:rPr>
              <w:t>паев</w:t>
            </w:r>
            <w:r w:rsidR="009F7EE6" w:rsidRPr="00BE536E">
              <w:rPr>
                <w:rFonts w:ascii="Verdana" w:eastAsia="Times New Roman" w:hAnsi="Verdana"/>
                <w:bCs/>
                <w:color w:val="000000"/>
                <w:sz w:val="20"/>
                <w:szCs w:val="20"/>
                <w:lang w:eastAsia="ru-RU"/>
              </w:rPr>
              <w:t xml:space="preserve"> ПИФ</w:t>
            </w:r>
          </w:p>
        </w:tc>
        <w:tc>
          <w:tcPr>
            <w:tcW w:w="3546" w:type="dxa"/>
            <w:shd w:val="clear" w:color="auto" w:fill="auto"/>
            <w:vAlign w:val="center"/>
          </w:tcPr>
          <w:p w14:paraId="18886229"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включения денежных средств (иного имущества), переданных в оплату инвес</w:t>
            </w:r>
            <w:r w:rsidR="00CE733E" w:rsidRPr="00BE536E">
              <w:rPr>
                <w:rFonts w:ascii="Verdana" w:eastAsia="Times New Roman" w:hAnsi="Verdana"/>
                <w:bCs/>
                <w:color w:val="000000"/>
                <w:sz w:val="20"/>
                <w:szCs w:val="20"/>
                <w:lang w:eastAsia="ru-RU"/>
              </w:rPr>
              <w:t>тиционных паев, в имущество ПИФ</w:t>
            </w:r>
          </w:p>
        </w:tc>
        <w:tc>
          <w:tcPr>
            <w:tcW w:w="3335" w:type="dxa"/>
            <w:shd w:val="clear" w:color="auto" w:fill="auto"/>
            <w:vAlign w:val="center"/>
          </w:tcPr>
          <w:p w14:paraId="432A6DF3"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внесения приходной записи о выдаче инвестиционных паев в реестр ПИФ согласно отчету </w:t>
            </w:r>
            <w:r w:rsidR="00CE733E" w:rsidRPr="00BE536E">
              <w:rPr>
                <w:rFonts w:ascii="Verdana" w:eastAsia="Times New Roman" w:hAnsi="Verdana"/>
                <w:bCs/>
                <w:color w:val="000000"/>
                <w:sz w:val="20"/>
                <w:szCs w:val="20"/>
                <w:lang w:eastAsia="ru-RU"/>
              </w:rPr>
              <w:t>регистратора</w:t>
            </w:r>
          </w:p>
        </w:tc>
        <w:tc>
          <w:tcPr>
            <w:tcW w:w="3373" w:type="dxa"/>
            <w:vMerge/>
            <w:shd w:val="clear" w:color="auto" w:fill="auto"/>
            <w:vAlign w:val="center"/>
          </w:tcPr>
          <w:p w14:paraId="4DC8DFD0" w14:textId="77777777" w:rsidR="00934517" w:rsidRPr="00BE536E" w:rsidRDefault="00934517" w:rsidP="00D94BA7">
            <w:pPr>
              <w:spacing w:after="0" w:line="240" w:lineRule="auto"/>
              <w:jc w:val="both"/>
              <w:rPr>
                <w:rFonts w:ascii="Verdana" w:hAnsi="Verdana"/>
                <w:sz w:val="20"/>
                <w:szCs w:val="20"/>
              </w:rPr>
            </w:pPr>
          </w:p>
        </w:tc>
      </w:tr>
      <w:tr w:rsidR="00934517" w:rsidRPr="00BE536E" w14:paraId="0F9A05BD" w14:textId="77777777" w:rsidTr="00567222">
        <w:tc>
          <w:tcPr>
            <w:tcW w:w="3746" w:type="dxa"/>
            <w:shd w:val="clear" w:color="auto" w:fill="auto"/>
            <w:vAlign w:val="center"/>
          </w:tcPr>
          <w:p w14:paraId="4512337E"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Кредиторская задолженность по выдаче </w:t>
            </w:r>
            <w:r w:rsidR="009F7EE6" w:rsidRPr="00BE536E">
              <w:rPr>
                <w:rFonts w:ascii="Verdana" w:eastAsia="Times New Roman" w:hAnsi="Verdana"/>
                <w:bCs/>
                <w:color w:val="000000"/>
                <w:sz w:val="20"/>
                <w:szCs w:val="20"/>
                <w:lang w:eastAsia="ru-RU"/>
              </w:rPr>
              <w:t xml:space="preserve">инвестиционных </w:t>
            </w:r>
            <w:r w:rsidRPr="00BE536E">
              <w:rPr>
                <w:rFonts w:ascii="Verdana" w:eastAsia="Times New Roman" w:hAnsi="Verdana"/>
                <w:bCs/>
                <w:color w:val="000000"/>
                <w:sz w:val="20"/>
                <w:szCs w:val="20"/>
                <w:lang w:eastAsia="ru-RU"/>
              </w:rPr>
              <w:t>паев</w:t>
            </w:r>
            <w:r w:rsidR="009F7EE6" w:rsidRPr="00BE536E">
              <w:rPr>
                <w:rFonts w:ascii="Verdana" w:eastAsia="Times New Roman" w:hAnsi="Verdana"/>
                <w:bCs/>
                <w:color w:val="000000"/>
                <w:sz w:val="20"/>
                <w:szCs w:val="20"/>
                <w:lang w:eastAsia="ru-RU"/>
              </w:rPr>
              <w:t xml:space="preserve"> ПИФ</w:t>
            </w:r>
            <w:r w:rsidR="00DE40CF"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при обмене</w:t>
            </w:r>
          </w:p>
        </w:tc>
        <w:tc>
          <w:tcPr>
            <w:tcW w:w="3546" w:type="dxa"/>
            <w:shd w:val="clear" w:color="auto" w:fill="auto"/>
            <w:vAlign w:val="center"/>
          </w:tcPr>
          <w:p w14:paraId="664E447C"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в ПИФ имущества, по</w:t>
            </w:r>
            <w:r w:rsidR="00CE733E" w:rsidRPr="00BE536E">
              <w:rPr>
                <w:rFonts w:ascii="Verdana" w:eastAsia="Times New Roman" w:hAnsi="Verdana"/>
                <w:bCs/>
                <w:color w:val="000000"/>
                <w:sz w:val="20"/>
                <w:szCs w:val="20"/>
                <w:lang w:eastAsia="ru-RU"/>
              </w:rPr>
              <w:t>ступившего в оплату обмена паев</w:t>
            </w:r>
          </w:p>
        </w:tc>
        <w:tc>
          <w:tcPr>
            <w:tcW w:w="3335" w:type="dxa"/>
            <w:shd w:val="clear" w:color="auto" w:fill="auto"/>
            <w:vAlign w:val="center"/>
          </w:tcPr>
          <w:p w14:paraId="63A62F79"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внесения приходной записи о выдаче инвестиционных паев в реестр ПИФ при обмене согласно отчету</w:t>
            </w:r>
            <w:r w:rsidR="00CE733E" w:rsidRPr="00BE536E">
              <w:rPr>
                <w:rFonts w:ascii="Verdana" w:eastAsia="Times New Roman" w:hAnsi="Verdana"/>
                <w:bCs/>
                <w:color w:val="000000"/>
                <w:sz w:val="20"/>
                <w:szCs w:val="20"/>
                <w:lang w:eastAsia="ru-RU"/>
              </w:rPr>
              <w:t xml:space="preserve"> регистратора</w:t>
            </w:r>
          </w:p>
        </w:tc>
        <w:tc>
          <w:tcPr>
            <w:tcW w:w="3373" w:type="dxa"/>
            <w:vMerge/>
            <w:shd w:val="clear" w:color="auto" w:fill="auto"/>
            <w:vAlign w:val="center"/>
          </w:tcPr>
          <w:p w14:paraId="79781A68" w14:textId="77777777" w:rsidR="00934517" w:rsidRPr="00BE536E" w:rsidRDefault="00934517" w:rsidP="00D94BA7">
            <w:pPr>
              <w:spacing w:after="0" w:line="240" w:lineRule="auto"/>
              <w:jc w:val="both"/>
              <w:rPr>
                <w:rFonts w:ascii="Verdana" w:hAnsi="Verdana"/>
                <w:sz w:val="20"/>
                <w:szCs w:val="20"/>
              </w:rPr>
            </w:pPr>
          </w:p>
        </w:tc>
      </w:tr>
      <w:tr w:rsidR="00934517" w:rsidRPr="00BE536E" w14:paraId="60BF697A" w14:textId="77777777" w:rsidTr="00567222">
        <w:tc>
          <w:tcPr>
            <w:tcW w:w="3746" w:type="dxa"/>
            <w:shd w:val="clear" w:color="auto" w:fill="auto"/>
            <w:vAlign w:val="center"/>
          </w:tcPr>
          <w:p w14:paraId="22DAE42D"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Кредиторская задолженность по выплате денежной компенсации при погашении инвестиционных паев </w:t>
            </w:r>
            <w:r w:rsidR="009F7EE6"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(перечислении денежных средств при обмене паев)</w:t>
            </w:r>
          </w:p>
        </w:tc>
        <w:tc>
          <w:tcPr>
            <w:tcW w:w="3546" w:type="dxa"/>
            <w:shd w:val="clear" w:color="auto" w:fill="auto"/>
            <w:vAlign w:val="center"/>
          </w:tcPr>
          <w:p w14:paraId="427054E2"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внесения расходной записи о погашении (списани</w:t>
            </w:r>
            <w:r w:rsidR="001E11F4" w:rsidRPr="00BE536E">
              <w:rPr>
                <w:rFonts w:ascii="Verdana" w:eastAsia="Times New Roman" w:hAnsi="Verdana"/>
                <w:bCs/>
                <w:color w:val="000000"/>
                <w:sz w:val="20"/>
                <w:szCs w:val="20"/>
                <w:lang w:eastAsia="ru-RU"/>
              </w:rPr>
              <w:t>и</w:t>
            </w:r>
            <w:r w:rsidRPr="00BE536E">
              <w:rPr>
                <w:rFonts w:ascii="Verdana" w:eastAsia="Times New Roman" w:hAnsi="Verdana"/>
                <w:bCs/>
                <w:color w:val="000000"/>
                <w:sz w:val="20"/>
                <w:szCs w:val="20"/>
                <w:lang w:eastAsia="ru-RU"/>
              </w:rPr>
              <w:t xml:space="preserve"> при обмене) </w:t>
            </w:r>
            <w:r w:rsidR="009F7EE6" w:rsidRPr="00BE536E">
              <w:rPr>
                <w:rFonts w:ascii="Verdana" w:eastAsia="Times New Roman" w:hAnsi="Verdana"/>
                <w:bCs/>
                <w:color w:val="000000"/>
                <w:sz w:val="20"/>
                <w:szCs w:val="20"/>
                <w:lang w:eastAsia="ru-RU"/>
              </w:rPr>
              <w:t xml:space="preserve">инвестиционных </w:t>
            </w:r>
            <w:r w:rsidRPr="00BE536E">
              <w:rPr>
                <w:rFonts w:ascii="Verdana" w:eastAsia="Times New Roman" w:hAnsi="Verdana"/>
                <w:bCs/>
                <w:color w:val="000000"/>
                <w:sz w:val="20"/>
                <w:szCs w:val="20"/>
                <w:lang w:eastAsia="ru-RU"/>
              </w:rPr>
              <w:t xml:space="preserve">паев </w:t>
            </w:r>
            <w:r w:rsidR="009F7EE6"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согла</w:t>
            </w:r>
            <w:r w:rsidR="00CE733E" w:rsidRPr="00BE536E">
              <w:rPr>
                <w:rFonts w:ascii="Verdana" w:eastAsia="Times New Roman" w:hAnsi="Verdana"/>
                <w:bCs/>
                <w:color w:val="000000"/>
                <w:sz w:val="20"/>
                <w:szCs w:val="20"/>
                <w:lang w:eastAsia="ru-RU"/>
              </w:rPr>
              <w:t>сно отчету регистратора</w:t>
            </w:r>
          </w:p>
        </w:tc>
        <w:tc>
          <w:tcPr>
            <w:tcW w:w="3335" w:type="dxa"/>
            <w:shd w:val="clear" w:color="auto" w:fill="auto"/>
            <w:vAlign w:val="center"/>
          </w:tcPr>
          <w:p w14:paraId="6A754754"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выплаты (перечисления по обмену) суммы денежной компенсации за инвестиционные паи </w:t>
            </w:r>
            <w:r w:rsidR="00CE733E" w:rsidRPr="00BE536E">
              <w:rPr>
                <w:rFonts w:ascii="Verdana" w:eastAsia="Times New Roman" w:hAnsi="Verdana"/>
                <w:bCs/>
                <w:color w:val="000000"/>
                <w:sz w:val="20"/>
                <w:szCs w:val="20"/>
                <w:lang w:eastAsia="ru-RU"/>
              </w:rPr>
              <w:t>ПИФ согласно банковской выписке</w:t>
            </w:r>
          </w:p>
        </w:tc>
        <w:tc>
          <w:tcPr>
            <w:tcW w:w="3373" w:type="dxa"/>
            <w:vMerge/>
            <w:shd w:val="clear" w:color="auto" w:fill="auto"/>
            <w:vAlign w:val="center"/>
          </w:tcPr>
          <w:p w14:paraId="303E4A91" w14:textId="77777777" w:rsidR="00934517" w:rsidRPr="00BE536E" w:rsidRDefault="00934517" w:rsidP="00D94BA7">
            <w:pPr>
              <w:spacing w:after="0" w:line="240" w:lineRule="auto"/>
              <w:jc w:val="both"/>
              <w:rPr>
                <w:rFonts w:ascii="Verdana" w:hAnsi="Verdana"/>
                <w:sz w:val="20"/>
                <w:szCs w:val="20"/>
              </w:rPr>
            </w:pPr>
          </w:p>
        </w:tc>
      </w:tr>
      <w:tr w:rsidR="00934517" w:rsidRPr="00BE536E" w14:paraId="65DC238F" w14:textId="77777777" w:rsidTr="00567222">
        <w:tc>
          <w:tcPr>
            <w:tcW w:w="3746" w:type="dxa"/>
            <w:shd w:val="clear" w:color="auto" w:fill="auto"/>
            <w:vAlign w:val="center"/>
          </w:tcPr>
          <w:p w14:paraId="2A3E4E21"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Кредиторская задолженность перед агентами по выдаче, погашению и обмену инвестиционных паев ПИФ</w:t>
            </w:r>
          </w:p>
        </w:tc>
        <w:tc>
          <w:tcPr>
            <w:tcW w:w="3546" w:type="dxa"/>
            <w:shd w:val="clear" w:color="auto" w:fill="auto"/>
            <w:vAlign w:val="center"/>
          </w:tcPr>
          <w:p w14:paraId="3348158A"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осуществления операции выдачи и (или) погашения паев в реестре инвестици</w:t>
            </w:r>
            <w:r w:rsidR="00CE733E" w:rsidRPr="00BE536E">
              <w:rPr>
                <w:rFonts w:ascii="Verdana" w:eastAsia="Times New Roman" w:hAnsi="Verdana"/>
                <w:bCs/>
                <w:color w:val="000000"/>
                <w:sz w:val="20"/>
                <w:szCs w:val="20"/>
                <w:lang w:eastAsia="ru-RU"/>
              </w:rPr>
              <w:t>онных паев ПИФ по заявке агента</w:t>
            </w:r>
          </w:p>
        </w:tc>
        <w:tc>
          <w:tcPr>
            <w:tcW w:w="3335" w:type="dxa"/>
            <w:shd w:val="clear" w:color="auto" w:fill="auto"/>
            <w:vAlign w:val="center"/>
          </w:tcPr>
          <w:p w14:paraId="6F6F28E5"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перечисления суммы скидок/надбавок агенту из </w:t>
            </w:r>
            <w:r w:rsidR="00CE733E" w:rsidRPr="00BE536E">
              <w:rPr>
                <w:rFonts w:ascii="Verdana" w:eastAsia="Times New Roman" w:hAnsi="Verdana"/>
                <w:bCs/>
                <w:color w:val="000000"/>
                <w:sz w:val="20"/>
                <w:szCs w:val="20"/>
                <w:lang w:eastAsia="ru-RU"/>
              </w:rPr>
              <w:t>ПИФ согласно банковской выписке</w:t>
            </w:r>
          </w:p>
        </w:tc>
        <w:tc>
          <w:tcPr>
            <w:tcW w:w="3373" w:type="dxa"/>
            <w:vMerge/>
            <w:shd w:val="clear" w:color="auto" w:fill="auto"/>
            <w:vAlign w:val="center"/>
          </w:tcPr>
          <w:p w14:paraId="1680CA43" w14:textId="77777777" w:rsidR="00934517" w:rsidRPr="00BE536E" w:rsidRDefault="00934517" w:rsidP="00D94BA7">
            <w:pPr>
              <w:spacing w:after="0" w:line="240" w:lineRule="auto"/>
              <w:jc w:val="both"/>
              <w:rPr>
                <w:rFonts w:ascii="Verdana" w:hAnsi="Verdana"/>
                <w:sz w:val="20"/>
                <w:szCs w:val="20"/>
              </w:rPr>
            </w:pPr>
          </w:p>
        </w:tc>
      </w:tr>
      <w:tr w:rsidR="00354293" w:rsidRPr="00BE536E" w14:paraId="15D15B41" w14:textId="77777777" w:rsidTr="00567222">
        <w:tc>
          <w:tcPr>
            <w:tcW w:w="3746" w:type="dxa"/>
            <w:shd w:val="clear" w:color="auto" w:fill="auto"/>
            <w:vAlign w:val="center"/>
          </w:tcPr>
          <w:p w14:paraId="494D2022" w14:textId="77777777" w:rsidR="00354293" w:rsidRPr="00BE536E" w:rsidRDefault="00354293" w:rsidP="00D94BA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Кредиторская задолженность по выплате доходов пайщикам </w:t>
            </w:r>
            <w:r w:rsidRPr="00BE536E">
              <w:rPr>
                <w:rFonts w:ascii="Verdana" w:hAnsi="Verdana"/>
                <w:sz w:val="20"/>
                <w:szCs w:val="20"/>
              </w:rPr>
              <w:lastRenderedPageBreak/>
              <w:t>(права владельцев инвестиционных паев)</w:t>
            </w:r>
          </w:p>
        </w:tc>
        <w:tc>
          <w:tcPr>
            <w:tcW w:w="3546" w:type="dxa"/>
            <w:shd w:val="clear" w:color="auto" w:fill="auto"/>
            <w:vAlign w:val="center"/>
          </w:tcPr>
          <w:p w14:paraId="2ED68382" w14:textId="77777777" w:rsidR="00354293" w:rsidRPr="00BE536E" w:rsidRDefault="00F73602" w:rsidP="00D94BA7">
            <w:pPr>
              <w:spacing w:after="0" w:line="240" w:lineRule="auto"/>
              <w:jc w:val="both"/>
              <w:rPr>
                <w:rFonts w:ascii="Verdana" w:eastAsia="Times New Roman" w:hAnsi="Verdana"/>
                <w:bCs/>
                <w:color w:val="000000"/>
                <w:sz w:val="20"/>
                <w:szCs w:val="20"/>
                <w:lang w:eastAsia="ru-RU"/>
              </w:rPr>
            </w:pPr>
            <w:r w:rsidRPr="00BE536E">
              <w:rPr>
                <w:rFonts w:ascii="Verdana" w:hAnsi="Verdana" w:cs="Verdana"/>
                <w:sz w:val="20"/>
                <w:szCs w:val="20"/>
              </w:rPr>
              <w:lastRenderedPageBreak/>
              <w:t xml:space="preserve">Дата возникновения </w:t>
            </w:r>
            <w:r w:rsidR="00A621A4" w:rsidRPr="00BE536E">
              <w:rPr>
                <w:rFonts w:ascii="Verdana" w:hAnsi="Verdana" w:cs="Verdana"/>
                <w:sz w:val="20"/>
                <w:szCs w:val="20"/>
              </w:rPr>
              <w:t>обязательства по выплате дохода</w:t>
            </w:r>
            <w:r w:rsidRPr="00BE536E">
              <w:rPr>
                <w:rFonts w:ascii="Verdana" w:hAnsi="Verdana" w:cs="Verdana"/>
                <w:sz w:val="20"/>
                <w:szCs w:val="20"/>
              </w:rPr>
              <w:t xml:space="preserve"> </w:t>
            </w:r>
            <w:r w:rsidR="00A621A4" w:rsidRPr="00BE536E">
              <w:rPr>
                <w:rFonts w:ascii="Verdana" w:hAnsi="Verdana" w:cs="Verdana"/>
                <w:sz w:val="20"/>
                <w:szCs w:val="20"/>
              </w:rPr>
              <w:t xml:space="preserve">(в том числе дата </w:t>
            </w:r>
            <w:r w:rsidRPr="00BE536E">
              <w:rPr>
                <w:rFonts w:ascii="Verdana" w:hAnsi="Verdana" w:cs="Verdana"/>
                <w:sz w:val="20"/>
                <w:szCs w:val="20"/>
              </w:rPr>
              <w:lastRenderedPageBreak/>
              <w:t>указанная в сообщении</w:t>
            </w:r>
            <w:r w:rsidRPr="00BE536E">
              <w:rPr>
                <w:rFonts w:ascii="Verdana" w:hAnsi="Verdana"/>
                <w:sz w:val="20"/>
                <w:szCs w:val="20"/>
              </w:rPr>
              <w:t xml:space="preserve"> </w:t>
            </w:r>
            <w:r w:rsidRPr="00BE536E">
              <w:rPr>
                <w:rFonts w:ascii="Verdana" w:hAnsi="Verdana" w:cs="Verdana"/>
                <w:sz w:val="20"/>
                <w:szCs w:val="20"/>
              </w:rPr>
              <w:t>о выплате дохода по инвестиционным паям</w:t>
            </w:r>
            <w:r w:rsidR="00A621A4" w:rsidRPr="00BE536E">
              <w:rPr>
                <w:rFonts w:ascii="Verdana" w:hAnsi="Verdana" w:cs="Verdana"/>
                <w:sz w:val="20"/>
                <w:szCs w:val="20"/>
              </w:rPr>
              <w:t xml:space="preserve"> </w:t>
            </w:r>
            <w:r w:rsidR="00A621A4" w:rsidRPr="00BE536E">
              <w:rPr>
                <w:rFonts w:ascii="Verdana" w:eastAsia="Times New Roman" w:hAnsi="Verdana"/>
                <w:bCs/>
                <w:color w:val="000000"/>
                <w:sz w:val="20"/>
                <w:szCs w:val="20"/>
              </w:rPr>
              <w:t xml:space="preserve"> в соответствии с информацией НКО АО НРД или  официальным сайтом (официальным письмом) управляющей компании</w:t>
            </w:r>
            <w:r w:rsidR="00A621A4" w:rsidRPr="00BE536E">
              <w:rPr>
                <w:rFonts w:ascii="Verdana" w:hAnsi="Verdana" w:cs="Verdana"/>
                <w:sz w:val="20"/>
                <w:szCs w:val="20"/>
              </w:rPr>
              <w:t>)</w:t>
            </w:r>
            <w:r w:rsidR="00D917F9" w:rsidRPr="00BE536E">
              <w:rPr>
                <w:rFonts w:ascii="Verdana" w:hAnsi="Verdana" w:cs="Verdana"/>
                <w:sz w:val="20"/>
                <w:szCs w:val="20"/>
              </w:rPr>
              <w:t xml:space="preserve"> и </w:t>
            </w:r>
            <w:r w:rsidR="00D917F9" w:rsidRPr="00BE536E">
              <w:rPr>
                <w:bCs/>
                <w:color w:val="000000"/>
                <w:sz w:val="24"/>
                <w:szCs w:val="24"/>
                <w:lang w:eastAsia="ru-RU"/>
              </w:rPr>
              <w:t xml:space="preserve"> которая не может быть позднее первого дня выплаты дохода по инвестиционным паям, указанная в правилах доверительного управления ПИФ</w:t>
            </w:r>
          </w:p>
        </w:tc>
        <w:tc>
          <w:tcPr>
            <w:tcW w:w="3335" w:type="dxa"/>
            <w:shd w:val="clear" w:color="auto" w:fill="auto"/>
            <w:vAlign w:val="center"/>
          </w:tcPr>
          <w:p w14:paraId="767FCCD1" w14:textId="77777777" w:rsidR="00A621A4" w:rsidRPr="00BE536E" w:rsidRDefault="00A621A4" w:rsidP="00567222">
            <w:pPr>
              <w:numPr>
                <w:ilvl w:val="0"/>
                <w:numId w:val="12"/>
              </w:numPr>
              <w:spacing w:after="0" w:line="240" w:lineRule="auto"/>
              <w:ind w:left="363" w:hanging="36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lastRenderedPageBreak/>
              <w:t xml:space="preserve">Дата исполнения  обязательств управляющей компанией, </w:t>
            </w:r>
            <w:r w:rsidRPr="00BE536E">
              <w:rPr>
                <w:rFonts w:ascii="Verdana" w:eastAsia="Times New Roman" w:hAnsi="Verdana"/>
                <w:bCs/>
                <w:color w:val="000000"/>
                <w:sz w:val="20"/>
                <w:szCs w:val="20"/>
                <w:lang w:eastAsia="ru-RU"/>
              </w:rPr>
              <w:lastRenderedPageBreak/>
              <w:t xml:space="preserve">подтвержденной банковской выпиской с </w:t>
            </w:r>
            <w:r w:rsidRPr="00BE536E">
              <w:rPr>
                <w:rFonts w:ascii="Verdana" w:hAnsi="Verdana" w:cs="Verdana"/>
                <w:sz w:val="20"/>
                <w:szCs w:val="20"/>
              </w:rPr>
              <w:t>расчетного счета управляющей компании Д.У. ПИФ</w:t>
            </w:r>
            <w:r w:rsidR="00CE733E" w:rsidRPr="00BE536E">
              <w:rPr>
                <w:rFonts w:ascii="Verdana" w:eastAsia="Times New Roman" w:hAnsi="Verdana"/>
                <w:bCs/>
                <w:color w:val="000000"/>
                <w:sz w:val="20"/>
                <w:szCs w:val="20"/>
                <w:lang w:eastAsia="ru-RU"/>
              </w:rPr>
              <w:t xml:space="preserve"> /отчетом брокера ПИФ</w:t>
            </w:r>
          </w:p>
          <w:p w14:paraId="1FE16FC7" w14:textId="77777777" w:rsidR="00354293" w:rsidRPr="00BE536E" w:rsidRDefault="00A621A4" w:rsidP="00567222">
            <w:pPr>
              <w:numPr>
                <w:ilvl w:val="0"/>
                <w:numId w:val="12"/>
              </w:numPr>
              <w:spacing w:after="0" w:line="240" w:lineRule="auto"/>
              <w:ind w:left="363" w:hanging="36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управляющей компании, согласно выписке из ЕГРЮЛ (или выписки из соответствующего уполномоченного органа иностранного государства)</w:t>
            </w:r>
          </w:p>
        </w:tc>
        <w:tc>
          <w:tcPr>
            <w:tcW w:w="3373" w:type="dxa"/>
            <w:vMerge/>
            <w:shd w:val="clear" w:color="auto" w:fill="auto"/>
            <w:vAlign w:val="center"/>
          </w:tcPr>
          <w:p w14:paraId="2689F6E4" w14:textId="77777777" w:rsidR="00354293" w:rsidRPr="00BE536E" w:rsidRDefault="00354293" w:rsidP="00D94BA7">
            <w:pPr>
              <w:spacing w:after="0" w:line="240" w:lineRule="auto"/>
              <w:jc w:val="both"/>
              <w:rPr>
                <w:rFonts w:ascii="Verdana" w:hAnsi="Verdana"/>
                <w:sz w:val="20"/>
                <w:szCs w:val="20"/>
              </w:rPr>
            </w:pPr>
          </w:p>
        </w:tc>
      </w:tr>
      <w:tr w:rsidR="00934517" w:rsidRPr="00BE536E" w14:paraId="50580193" w14:textId="77777777" w:rsidTr="00567222">
        <w:tc>
          <w:tcPr>
            <w:tcW w:w="3746" w:type="dxa"/>
            <w:shd w:val="clear" w:color="auto" w:fill="auto"/>
            <w:vAlign w:val="center"/>
          </w:tcPr>
          <w:p w14:paraId="1BA67899"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Кредиторская задолженность перед управляющей компанией, возникшая в результате использования управляющей компанией собственных денежных средств для выплаты денежной компенсации владельцам инвестиционных паев </w:t>
            </w:r>
            <w:r w:rsidR="00823C8F"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при погашении и (или) обмене инвестиционных паев</w:t>
            </w:r>
            <w:r w:rsidR="00823C8F" w:rsidRPr="00BE536E">
              <w:rPr>
                <w:rFonts w:ascii="Verdana" w:eastAsia="Times New Roman" w:hAnsi="Verdana"/>
                <w:bCs/>
                <w:color w:val="000000"/>
                <w:sz w:val="20"/>
                <w:szCs w:val="20"/>
                <w:lang w:eastAsia="ru-RU"/>
              </w:rPr>
              <w:t xml:space="preserve"> ПИФ</w:t>
            </w:r>
          </w:p>
        </w:tc>
        <w:tc>
          <w:tcPr>
            <w:tcW w:w="3546" w:type="dxa"/>
            <w:shd w:val="clear" w:color="auto" w:fill="auto"/>
            <w:vAlign w:val="center"/>
          </w:tcPr>
          <w:p w14:paraId="5C6D50F5"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получения денежных средств от управляющей компа</w:t>
            </w:r>
            <w:r w:rsidR="00CE733E" w:rsidRPr="00BE536E">
              <w:rPr>
                <w:rFonts w:ascii="Verdana" w:eastAsia="Times New Roman" w:hAnsi="Verdana"/>
                <w:bCs/>
                <w:color w:val="000000"/>
                <w:sz w:val="20"/>
                <w:szCs w:val="20"/>
                <w:lang w:eastAsia="ru-RU"/>
              </w:rPr>
              <w:t>нии согласно банковской выписке</w:t>
            </w:r>
          </w:p>
        </w:tc>
        <w:tc>
          <w:tcPr>
            <w:tcW w:w="3335" w:type="dxa"/>
            <w:shd w:val="clear" w:color="auto" w:fill="auto"/>
            <w:vAlign w:val="center"/>
          </w:tcPr>
          <w:p w14:paraId="68C7BCDD"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возврата суммы задолженности управляющей компа</w:t>
            </w:r>
            <w:r w:rsidR="00CE733E" w:rsidRPr="00BE536E">
              <w:rPr>
                <w:rFonts w:ascii="Verdana" w:eastAsia="Times New Roman" w:hAnsi="Verdana"/>
                <w:bCs/>
                <w:color w:val="000000"/>
                <w:sz w:val="20"/>
                <w:szCs w:val="20"/>
                <w:lang w:eastAsia="ru-RU"/>
              </w:rPr>
              <w:t>нии согласно банковской выписке</w:t>
            </w:r>
          </w:p>
        </w:tc>
        <w:tc>
          <w:tcPr>
            <w:tcW w:w="3373" w:type="dxa"/>
            <w:vMerge/>
            <w:shd w:val="clear" w:color="auto" w:fill="auto"/>
            <w:vAlign w:val="center"/>
          </w:tcPr>
          <w:p w14:paraId="51A55FC6" w14:textId="77777777" w:rsidR="00934517" w:rsidRPr="00BE536E" w:rsidRDefault="00934517" w:rsidP="00D94BA7">
            <w:pPr>
              <w:spacing w:after="0" w:line="240" w:lineRule="auto"/>
              <w:jc w:val="both"/>
              <w:rPr>
                <w:rFonts w:ascii="Verdana" w:hAnsi="Verdana"/>
                <w:sz w:val="20"/>
                <w:szCs w:val="20"/>
              </w:rPr>
            </w:pPr>
          </w:p>
        </w:tc>
      </w:tr>
      <w:tr w:rsidR="00934517" w:rsidRPr="00BE536E" w14:paraId="6E1CE4A7" w14:textId="77777777" w:rsidTr="00567222">
        <w:tc>
          <w:tcPr>
            <w:tcW w:w="3746" w:type="dxa"/>
            <w:shd w:val="clear" w:color="auto" w:fill="auto"/>
            <w:vAlign w:val="center"/>
          </w:tcPr>
          <w:p w14:paraId="5B414BA7"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Кредиторская задолженность по уплате налогов и других обязательных платежей из имущества ПИФ</w:t>
            </w:r>
          </w:p>
        </w:tc>
        <w:tc>
          <w:tcPr>
            <w:tcW w:w="3546" w:type="dxa"/>
            <w:shd w:val="clear" w:color="auto" w:fill="auto"/>
            <w:vAlign w:val="center"/>
          </w:tcPr>
          <w:p w14:paraId="73002B0B" w14:textId="77777777" w:rsidR="006A3942" w:rsidRPr="00BE536E" w:rsidRDefault="005640CA"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Для НДФЛ - д</w:t>
            </w:r>
            <w:r w:rsidR="00934517" w:rsidRPr="00BE536E">
              <w:rPr>
                <w:rFonts w:ascii="Verdana" w:eastAsia="Times New Roman" w:hAnsi="Verdana"/>
                <w:bCs/>
                <w:color w:val="000000"/>
                <w:sz w:val="20"/>
                <w:szCs w:val="20"/>
                <w:lang w:eastAsia="ru-RU"/>
              </w:rPr>
              <w:t>ата выплат</w:t>
            </w:r>
            <w:r w:rsidR="00364AA6" w:rsidRPr="00BE536E">
              <w:rPr>
                <w:rFonts w:ascii="Verdana" w:eastAsia="Times New Roman" w:hAnsi="Verdana"/>
                <w:bCs/>
                <w:color w:val="000000"/>
                <w:sz w:val="20"/>
                <w:szCs w:val="20"/>
                <w:lang w:eastAsia="ru-RU"/>
              </w:rPr>
              <w:t>ы</w:t>
            </w:r>
            <w:r w:rsidR="006A3942" w:rsidRPr="00BE536E">
              <w:rPr>
                <w:rFonts w:ascii="Verdana" w:eastAsia="Times New Roman" w:hAnsi="Verdana"/>
                <w:bCs/>
                <w:color w:val="000000"/>
                <w:sz w:val="20"/>
                <w:szCs w:val="20"/>
                <w:lang w:eastAsia="ru-RU"/>
              </w:rPr>
              <w:t xml:space="preserve"> дохода, который облагается</w:t>
            </w:r>
            <w:r w:rsidR="00934517"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НДФЛ</w:t>
            </w:r>
          </w:p>
          <w:p w14:paraId="68803BFB" w14:textId="77777777" w:rsidR="00934517" w:rsidRPr="00BE536E" w:rsidRDefault="005640CA" w:rsidP="00567222">
            <w:pPr>
              <w:numPr>
                <w:ilvl w:val="0"/>
                <w:numId w:val="12"/>
              </w:numPr>
              <w:spacing w:after="0" w:line="240" w:lineRule="auto"/>
              <w:ind w:left="36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Для остальных налогов и обязательных платежей </w:t>
            </w:r>
            <w:r w:rsidR="00784842" w:rsidRPr="00BE536E">
              <w:rPr>
                <w:rFonts w:ascii="Verdana" w:eastAsia="Times New Roman" w:hAnsi="Verdana"/>
                <w:bCs/>
                <w:color w:val="000000"/>
                <w:sz w:val="20"/>
                <w:szCs w:val="20"/>
                <w:lang w:eastAsia="ru-RU"/>
              </w:rPr>
              <w:t>–</w:t>
            </w:r>
            <w:r w:rsidRPr="00BE536E">
              <w:rPr>
                <w:rFonts w:ascii="Verdana" w:eastAsia="Times New Roman" w:hAnsi="Verdana"/>
                <w:bCs/>
                <w:color w:val="000000"/>
                <w:sz w:val="20"/>
                <w:szCs w:val="20"/>
                <w:lang w:eastAsia="ru-RU"/>
              </w:rPr>
              <w:t xml:space="preserve"> </w:t>
            </w:r>
            <w:r w:rsidR="00784842" w:rsidRPr="00BE536E">
              <w:rPr>
                <w:rFonts w:ascii="Verdana" w:eastAsia="Times New Roman" w:hAnsi="Verdana"/>
                <w:bCs/>
                <w:color w:val="000000"/>
                <w:sz w:val="20"/>
                <w:szCs w:val="20"/>
                <w:lang w:eastAsia="ru-RU"/>
              </w:rPr>
              <w:t xml:space="preserve">последний рабочий день календарного квартала, в котором </w:t>
            </w:r>
            <w:r w:rsidR="006A3942" w:rsidRPr="00BE536E">
              <w:rPr>
                <w:rFonts w:ascii="Verdana" w:eastAsia="Times New Roman" w:hAnsi="Verdana"/>
                <w:bCs/>
                <w:color w:val="000000"/>
                <w:sz w:val="20"/>
                <w:szCs w:val="20"/>
                <w:lang w:eastAsia="ru-RU"/>
              </w:rPr>
              <w:t>возник</w:t>
            </w:r>
            <w:r w:rsidR="00784842" w:rsidRPr="00BE536E">
              <w:rPr>
                <w:rFonts w:ascii="Verdana" w:eastAsia="Times New Roman" w:hAnsi="Verdana"/>
                <w:bCs/>
                <w:color w:val="000000"/>
                <w:sz w:val="20"/>
                <w:szCs w:val="20"/>
                <w:lang w:eastAsia="ru-RU"/>
              </w:rPr>
              <w:t>ли</w:t>
            </w:r>
            <w:r w:rsidR="006A3942" w:rsidRPr="00BE536E">
              <w:rPr>
                <w:rFonts w:ascii="Verdana" w:eastAsia="Times New Roman" w:hAnsi="Verdana"/>
                <w:bCs/>
                <w:color w:val="000000"/>
                <w:sz w:val="20"/>
                <w:szCs w:val="20"/>
                <w:lang w:eastAsia="ru-RU"/>
              </w:rPr>
              <w:t xml:space="preserve"> обязательства по выплате</w:t>
            </w:r>
            <w:r w:rsidRPr="00BE536E">
              <w:rPr>
                <w:rFonts w:ascii="Verdana" w:eastAsia="Times New Roman" w:hAnsi="Verdana"/>
                <w:bCs/>
                <w:color w:val="000000"/>
                <w:sz w:val="20"/>
                <w:szCs w:val="20"/>
                <w:lang w:eastAsia="ru-RU"/>
              </w:rPr>
              <w:t xml:space="preserve"> налога </w:t>
            </w:r>
            <w:r w:rsidR="00934517" w:rsidRPr="00BE536E">
              <w:rPr>
                <w:rFonts w:ascii="Verdana" w:eastAsia="Times New Roman" w:hAnsi="Verdana"/>
                <w:bCs/>
                <w:color w:val="000000"/>
                <w:sz w:val="20"/>
                <w:szCs w:val="20"/>
                <w:lang w:eastAsia="ru-RU"/>
              </w:rPr>
              <w:t xml:space="preserve">и (или) обязательного платежа, </w:t>
            </w:r>
            <w:r w:rsidR="00934517" w:rsidRPr="00BE536E">
              <w:rPr>
                <w:rFonts w:ascii="Verdana" w:eastAsia="Times New Roman" w:hAnsi="Verdana"/>
                <w:bCs/>
                <w:color w:val="000000"/>
                <w:sz w:val="20"/>
                <w:szCs w:val="20"/>
                <w:lang w:eastAsia="ru-RU"/>
              </w:rPr>
              <w:lastRenderedPageBreak/>
              <w:t>согласно нормативным правовым актам Россий</w:t>
            </w:r>
            <w:r w:rsidR="00CE733E" w:rsidRPr="00BE536E">
              <w:rPr>
                <w:rFonts w:ascii="Verdana" w:eastAsia="Times New Roman" w:hAnsi="Verdana"/>
                <w:bCs/>
                <w:color w:val="000000"/>
                <w:sz w:val="20"/>
                <w:szCs w:val="20"/>
                <w:lang w:eastAsia="ru-RU"/>
              </w:rPr>
              <w:t>ской Федерации и (или) договору</w:t>
            </w:r>
          </w:p>
        </w:tc>
        <w:tc>
          <w:tcPr>
            <w:tcW w:w="3335" w:type="dxa"/>
            <w:shd w:val="clear" w:color="auto" w:fill="auto"/>
            <w:vAlign w:val="center"/>
          </w:tcPr>
          <w:p w14:paraId="1A89F71C"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lastRenderedPageBreak/>
              <w:t xml:space="preserve">Дата перечисления суммы налогов (обязательных платежей) с расчетного счета </w:t>
            </w:r>
            <w:r w:rsidR="00CE733E" w:rsidRPr="00BE536E">
              <w:rPr>
                <w:rFonts w:ascii="Verdana" w:eastAsia="Times New Roman" w:hAnsi="Verdana"/>
                <w:bCs/>
                <w:color w:val="000000"/>
                <w:sz w:val="20"/>
                <w:szCs w:val="20"/>
                <w:lang w:eastAsia="ru-RU"/>
              </w:rPr>
              <w:t>ПИФ согласно банковской выписке</w:t>
            </w:r>
          </w:p>
        </w:tc>
        <w:tc>
          <w:tcPr>
            <w:tcW w:w="3373" w:type="dxa"/>
            <w:vMerge/>
            <w:shd w:val="clear" w:color="auto" w:fill="auto"/>
            <w:vAlign w:val="center"/>
          </w:tcPr>
          <w:p w14:paraId="39D9A85E" w14:textId="77777777" w:rsidR="00934517" w:rsidRPr="00BE536E" w:rsidRDefault="00934517" w:rsidP="00D94BA7">
            <w:pPr>
              <w:spacing w:after="0" w:line="240" w:lineRule="auto"/>
              <w:jc w:val="both"/>
              <w:rPr>
                <w:rFonts w:ascii="Verdana" w:hAnsi="Verdana"/>
                <w:sz w:val="20"/>
                <w:szCs w:val="20"/>
              </w:rPr>
            </w:pPr>
          </w:p>
        </w:tc>
      </w:tr>
      <w:tr w:rsidR="00934517" w:rsidRPr="00BE536E" w14:paraId="6831F3DD" w14:textId="77777777" w:rsidTr="00567222">
        <w:trPr>
          <w:trHeight w:val="1549"/>
        </w:trPr>
        <w:tc>
          <w:tcPr>
            <w:tcW w:w="3746" w:type="dxa"/>
            <w:shd w:val="clear" w:color="auto" w:fill="auto"/>
            <w:vAlign w:val="center"/>
          </w:tcPr>
          <w:p w14:paraId="657CD7F2"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Кредиторская задолженность по сделкам купли – продаж</w:t>
            </w:r>
            <w:r w:rsidR="00BA09D0" w:rsidRPr="00BE536E">
              <w:rPr>
                <w:rFonts w:ascii="Verdana" w:eastAsia="Times New Roman" w:hAnsi="Verdana"/>
                <w:bCs/>
                <w:color w:val="000000"/>
                <w:sz w:val="20"/>
                <w:szCs w:val="20"/>
                <w:lang w:eastAsia="ru-RU"/>
              </w:rPr>
              <w:t>и</w:t>
            </w:r>
            <w:r w:rsidRPr="00BE536E">
              <w:rPr>
                <w:rFonts w:ascii="Verdana" w:eastAsia="Times New Roman" w:hAnsi="Verdana"/>
                <w:bCs/>
                <w:color w:val="000000"/>
                <w:sz w:val="20"/>
                <w:szCs w:val="20"/>
                <w:lang w:eastAsia="ru-RU"/>
              </w:rPr>
              <w:t xml:space="preserve"> активов ПИФ (за исключением </w:t>
            </w:r>
            <w:r w:rsidR="00BA09D0" w:rsidRPr="00BE536E">
              <w:rPr>
                <w:rFonts w:ascii="Verdana" w:eastAsia="Times New Roman" w:hAnsi="Verdana"/>
                <w:bCs/>
                <w:color w:val="000000"/>
                <w:sz w:val="20"/>
                <w:szCs w:val="20"/>
                <w:lang w:eastAsia="ru-RU"/>
              </w:rPr>
              <w:t xml:space="preserve">сделок купли-продажи </w:t>
            </w:r>
            <w:r w:rsidRPr="00BE536E">
              <w:rPr>
                <w:rFonts w:ascii="Verdana" w:eastAsia="Times New Roman" w:hAnsi="Verdana"/>
                <w:bCs/>
                <w:color w:val="000000"/>
                <w:sz w:val="20"/>
                <w:szCs w:val="20"/>
                <w:lang w:eastAsia="ru-RU"/>
              </w:rPr>
              <w:t xml:space="preserve">ценных бумаг) и передача активов </w:t>
            </w:r>
            <w:r w:rsidR="00BA09D0"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в аренду</w:t>
            </w:r>
          </w:p>
        </w:tc>
        <w:tc>
          <w:tcPr>
            <w:tcW w:w="3546" w:type="dxa"/>
            <w:shd w:val="clear" w:color="auto" w:fill="auto"/>
            <w:vAlign w:val="center"/>
          </w:tcPr>
          <w:p w14:paraId="017553BB"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получения денежных средств на расчетный счет ПИФ  согласно банковской выписке</w:t>
            </w:r>
          </w:p>
        </w:tc>
        <w:tc>
          <w:tcPr>
            <w:tcW w:w="3335" w:type="dxa"/>
            <w:shd w:val="clear" w:color="auto" w:fill="auto"/>
            <w:vAlign w:val="center"/>
          </w:tcPr>
          <w:p w14:paraId="0D19E73B"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возникновения обязательства по сделке согласно условиям договора</w:t>
            </w:r>
          </w:p>
        </w:tc>
        <w:tc>
          <w:tcPr>
            <w:tcW w:w="3373" w:type="dxa"/>
            <w:vMerge/>
            <w:shd w:val="clear" w:color="auto" w:fill="auto"/>
            <w:vAlign w:val="center"/>
          </w:tcPr>
          <w:p w14:paraId="35C8820D" w14:textId="77777777" w:rsidR="00934517" w:rsidRPr="00BE536E" w:rsidRDefault="00934517" w:rsidP="00D94BA7">
            <w:pPr>
              <w:spacing w:after="0" w:line="240" w:lineRule="auto"/>
              <w:jc w:val="both"/>
              <w:rPr>
                <w:rFonts w:ascii="Verdana" w:hAnsi="Verdana"/>
                <w:sz w:val="20"/>
                <w:szCs w:val="20"/>
              </w:rPr>
            </w:pPr>
          </w:p>
        </w:tc>
      </w:tr>
      <w:tr w:rsidR="003C3657" w:rsidRPr="00BE536E" w14:paraId="754EC39D" w14:textId="77777777" w:rsidTr="00567222">
        <w:tc>
          <w:tcPr>
            <w:tcW w:w="3746" w:type="dxa"/>
            <w:tcBorders>
              <w:bottom w:val="single" w:sz="4" w:space="0" w:color="C00000"/>
            </w:tcBorders>
            <w:shd w:val="clear" w:color="auto" w:fill="auto"/>
            <w:vAlign w:val="center"/>
          </w:tcPr>
          <w:p w14:paraId="5F656436" w14:textId="77777777" w:rsidR="003C3657" w:rsidRPr="00BE536E" w:rsidRDefault="003C365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Кредиторская задолженность по вознаграждениям управляющей компании, специализированному депозитарию, аудиторской организации, оценщику</w:t>
            </w:r>
            <w:r w:rsidRPr="00BE536E">
              <w:rPr>
                <w:rFonts w:ascii="Verdana" w:eastAsia="Times New Roman" w:hAnsi="Verdana"/>
                <w:bCs/>
                <w:i/>
                <w:color w:val="000000"/>
                <w:sz w:val="20"/>
                <w:szCs w:val="20"/>
                <w:lang w:eastAsia="ru-RU"/>
              </w:rPr>
              <w:t>,</w:t>
            </w:r>
            <w:r w:rsidRPr="00BE536E">
              <w:rPr>
                <w:rFonts w:ascii="Verdana" w:eastAsia="Times New Roman" w:hAnsi="Verdana"/>
                <w:bCs/>
                <w:color w:val="000000"/>
                <w:sz w:val="20"/>
                <w:szCs w:val="20"/>
                <w:lang w:eastAsia="ru-RU"/>
              </w:rPr>
              <w:t xml:space="preserve"> лицу, осуществляющему ведение реестра владельцев инвестиционных паев ПИФ, а также обязательствам по оплате прочих расходов, осуществляемых за счет имущества ПИФ в соответствии с требованиями действующего законодательства</w:t>
            </w:r>
          </w:p>
        </w:tc>
        <w:tc>
          <w:tcPr>
            <w:tcW w:w="3546" w:type="dxa"/>
            <w:tcBorders>
              <w:bottom w:val="single" w:sz="4" w:space="0" w:color="C00000"/>
            </w:tcBorders>
            <w:shd w:val="clear" w:color="auto" w:fill="auto"/>
            <w:vAlign w:val="center"/>
          </w:tcPr>
          <w:p w14:paraId="4FC26048" w14:textId="77777777" w:rsidR="00B31F46" w:rsidRPr="00BE536E" w:rsidRDefault="00492A08"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определения СЧА ПИФ.  </w:t>
            </w:r>
            <w:r w:rsidR="004E4265" w:rsidRPr="00BE536E">
              <w:rPr>
                <w:rFonts w:ascii="Verdana" w:eastAsia="Times New Roman" w:hAnsi="Verdana"/>
                <w:bCs/>
                <w:color w:val="000000"/>
                <w:sz w:val="20"/>
                <w:szCs w:val="20"/>
                <w:lang w:eastAsia="ru-RU"/>
              </w:rPr>
              <w:t>Е</w:t>
            </w:r>
            <w:r w:rsidRPr="00BE536E">
              <w:rPr>
                <w:rFonts w:ascii="Verdana" w:eastAsia="Times New Roman" w:hAnsi="Verdana"/>
                <w:bCs/>
                <w:color w:val="000000"/>
                <w:sz w:val="20"/>
                <w:szCs w:val="20"/>
                <w:lang w:eastAsia="ru-RU"/>
              </w:rPr>
              <w:t>сли обязательства по договору не могут быть надежно определены на такую дату</w:t>
            </w:r>
            <w:r w:rsidR="001C0D26" w:rsidRPr="00BE536E">
              <w:rPr>
                <w:rFonts w:ascii="Verdana" w:eastAsia="Times New Roman" w:hAnsi="Verdana"/>
                <w:bCs/>
                <w:color w:val="000000"/>
                <w:sz w:val="20"/>
                <w:szCs w:val="20"/>
                <w:lang w:eastAsia="ru-RU"/>
              </w:rPr>
              <w:t>, то  применяю</w:t>
            </w:r>
            <w:r w:rsidRPr="00BE536E">
              <w:rPr>
                <w:rFonts w:ascii="Verdana" w:eastAsia="Times New Roman" w:hAnsi="Verdana"/>
                <w:bCs/>
                <w:color w:val="000000"/>
                <w:sz w:val="20"/>
                <w:szCs w:val="20"/>
                <w:lang w:eastAsia="ru-RU"/>
              </w:rPr>
              <w:t>тся метод</w:t>
            </w:r>
            <w:r w:rsidR="001C0D26" w:rsidRPr="00BE536E">
              <w:rPr>
                <w:rFonts w:ascii="Verdana" w:eastAsia="Times New Roman" w:hAnsi="Verdana"/>
                <w:bCs/>
                <w:color w:val="000000"/>
                <w:sz w:val="20"/>
                <w:szCs w:val="20"/>
                <w:lang w:eastAsia="ru-RU"/>
              </w:rPr>
              <w:t>ы</w:t>
            </w:r>
            <w:r w:rsidRPr="00BE536E">
              <w:rPr>
                <w:rFonts w:ascii="Verdana" w:eastAsia="Times New Roman" w:hAnsi="Verdana"/>
                <w:bCs/>
                <w:color w:val="000000"/>
                <w:sz w:val="20"/>
                <w:szCs w:val="20"/>
                <w:lang w:eastAsia="ru-RU"/>
              </w:rPr>
              <w:t xml:space="preserve"> аппроксимации</w:t>
            </w:r>
            <w:r w:rsidR="004E4265" w:rsidRPr="00BE536E">
              <w:rPr>
                <w:rFonts w:ascii="Verdana" w:eastAsia="Times New Roman" w:hAnsi="Verdana"/>
                <w:bCs/>
                <w:color w:val="000000"/>
                <w:sz w:val="20"/>
                <w:szCs w:val="20"/>
                <w:lang w:eastAsia="ru-RU"/>
              </w:rPr>
              <w:t>, при возможности его применения к данному виду расходов</w:t>
            </w:r>
            <w:r w:rsidR="00B31F46" w:rsidRPr="00BE536E">
              <w:rPr>
                <w:rStyle w:val="ab"/>
                <w:rFonts w:ascii="Verdana" w:eastAsia="Times New Roman" w:hAnsi="Verdana"/>
                <w:color w:val="000000"/>
                <w:lang w:eastAsia="ru-RU"/>
              </w:rPr>
              <w:footnoteReference w:id="32"/>
            </w:r>
            <w:r w:rsidR="00A27B73" w:rsidRPr="00BE536E">
              <w:rPr>
                <w:rFonts w:ascii="Verdana" w:eastAsia="Times New Roman" w:hAnsi="Verdana"/>
                <w:bCs/>
                <w:color w:val="000000"/>
                <w:sz w:val="20"/>
                <w:szCs w:val="20"/>
                <w:lang w:eastAsia="ru-RU"/>
              </w:rPr>
              <w:t>;</w:t>
            </w:r>
          </w:p>
          <w:p w14:paraId="6EF47CE0" w14:textId="77777777" w:rsidR="00492A08" w:rsidRPr="00BE536E" w:rsidRDefault="00492A08"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возникновения обязанности согласно условиям договора</w:t>
            </w:r>
            <w:r w:rsidR="00A27B73" w:rsidRPr="00BE536E">
              <w:rPr>
                <w:rFonts w:ascii="Verdana" w:eastAsia="Times New Roman" w:hAnsi="Verdana"/>
                <w:bCs/>
                <w:color w:val="000000"/>
                <w:sz w:val="20"/>
                <w:szCs w:val="20"/>
                <w:lang w:eastAsia="ru-RU"/>
              </w:rPr>
              <w:t>, если есть основания однозначно полагать, что услуги по договору будут оказаны;</w:t>
            </w:r>
          </w:p>
          <w:p w14:paraId="34678B98" w14:textId="77777777" w:rsidR="003C3657" w:rsidRPr="00BE536E" w:rsidRDefault="00F90387"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BE536E">
              <w:rPr>
                <w:bCs/>
                <w:color w:val="000000"/>
                <w:sz w:val="24"/>
                <w:szCs w:val="24"/>
                <w:lang w:eastAsia="ru-RU"/>
              </w:rPr>
              <w:t xml:space="preserve">Дата получения документа в случае, если невозможно применить метод аппроксимации в связи с </w:t>
            </w:r>
            <w:r w:rsidRPr="00BE536E">
              <w:rPr>
                <w:bCs/>
                <w:color w:val="000000"/>
                <w:sz w:val="24"/>
                <w:szCs w:val="24"/>
                <w:lang w:eastAsia="ru-RU"/>
              </w:rPr>
              <w:lastRenderedPageBreak/>
              <w:t>недостаточностью данных за предыдущие периоды  или по вновь заключенным договорам</w:t>
            </w:r>
          </w:p>
        </w:tc>
        <w:tc>
          <w:tcPr>
            <w:tcW w:w="3335" w:type="dxa"/>
            <w:tcBorders>
              <w:bottom w:val="single" w:sz="4" w:space="0" w:color="C00000"/>
            </w:tcBorders>
            <w:shd w:val="clear" w:color="auto" w:fill="auto"/>
            <w:vAlign w:val="center"/>
          </w:tcPr>
          <w:p w14:paraId="0363278E" w14:textId="77777777" w:rsidR="003C3657" w:rsidRPr="00BE536E" w:rsidRDefault="003C365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lastRenderedPageBreak/>
              <w:t>Дата перечисления суммы вознаграждений и расходов с расчетного счета ПИФ согласно банковской выписке</w:t>
            </w:r>
          </w:p>
        </w:tc>
        <w:tc>
          <w:tcPr>
            <w:tcW w:w="3373" w:type="dxa"/>
            <w:shd w:val="clear" w:color="auto" w:fill="auto"/>
            <w:vAlign w:val="center"/>
          </w:tcPr>
          <w:p w14:paraId="0DF12431" w14:textId="77777777" w:rsidR="003C3657" w:rsidRPr="00BE536E" w:rsidRDefault="003C3657" w:rsidP="00D94BA7">
            <w:pPr>
              <w:spacing w:after="0" w:line="240" w:lineRule="auto"/>
              <w:jc w:val="both"/>
              <w:rPr>
                <w:rFonts w:ascii="Verdana" w:hAnsi="Verdana"/>
                <w:sz w:val="20"/>
                <w:szCs w:val="20"/>
              </w:rPr>
            </w:pPr>
            <w:r w:rsidRPr="00BE536E">
              <w:rPr>
                <w:rFonts w:ascii="Verdana" w:hAnsi="Verdana"/>
                <w:sz w:val="20"/>
                <w:szCs w:val="20"/>
              </w:rPr>
              <w:t>Справедливая стоимость обязательств по выплате вознаграждений</w:t>
            </w:r>
            <w:r w:rsidR="009F3574" w:rsidRPr="00BE536E">
              <w:rPr>
                <w:rFonts w:ascii="Verdana" w:hAnsi="Verdana"/>
                <w:sz w:val="20"/>
                <w:szCs w:val="20"/>
              </w:rPr>
              <w:t xml:space="preserve"> и расходов, связанных с доверительным управлением,</w:t>
            </w:r>
            <w:r w:rsidRPr="00BE536E">
              <w:rPr>
                <w:rFonts w:ascii="Verdana" w:hAnsi="Verdana"/>
                <w:sz w:val="20"/>
                <w:szCs w:val="20"/>
              </w:rPr>
              <w:t xml:space="preserve"> признается в сумме, не превышающей предельно допустимый размер вознаграждений на дату признания в соответствии с Правилами ДУ ПИФ</w:t>
            </w:r>
            <w:r w:rsidR="00F9756D" w:rsidRPr="00BE536E">
              <w:rPr>
                <w:rFonts w:ascii="Verdana" w:hAnsi="Verdana"/>
                <w:sz w:val="20"/>
                <w:szCs w:val="20"/>
              </w:rPr>
              <w:t>, а так же в сумме, не пр</w:t>
            </w:r>
            <w:r w:rsidR="0061216E" w:rsidRPr="00BE536E">
              <w:rPr>
                <w:rFonts w:ascii="Verdana" w:hAnsi="Verdana"/>
                <w:sz w:val="20"/>
                <w:szCs w:val="20"/>
              </w:rPr>
              <w:t xml:space="preserve">евышающей сформированный резерв на </w:t>
            </w:r>
            <w:r w:rsidR="001F2E30" w:rsidRPr="00BE536E">
              <w:rPr>
                <w:rFonts w:ascii="Verdana" w:hAnsi="Verdana"/>
                <w:sz w:val="20"/>
                <w:szCs w:val="20"/>
              </w:rPr>
              <w:t>признания</w:t>
            </w:r>
            <w:r w:rsidR="0061216E" w:rsidRPr="00BE536E">
              <w:rPr>
                <w:rFonts w:ascii="Verdana" w:hAnsi="Verdana"/>
                <w:sz w:val="20"/>
                <w:szCs w:val="20"/>
              </w:rPr>
              <w:t xml:space="preserve"> </w:t>
            </w:r>
            <w:r w:rsidR="001F2E30" w:rsidRPr="00BE536E">
              <w:rPr>
                <w:rFonts w:ascii="Verdana" w:hAnsi="Verdana"/>
                <w:sz w:val="20"/>
                <w:szCs w:val="20"/>
              </w:rPr>
              <w:t>соответствующего вознаграждения</w:t>
            </w:r>
            <w:r w:rsidR="00680FD0" w:rsidRPr="00BE536E">
              <w:rPr>
                <w:rFonts w:ascii="Verdana" w:hAnsi="Verdana"/>
                <w:sz w:val="20"/>
                <w:szCs w:val="20"/>
              </w:rPr>
              <w:t xml:space="preserve"> (в случае формирования такого резерва)</w:t>
            </w:r>
          </w:p>
          <w:p w14:paraId="770628B7" w14:textId="77777777" w:rsidR="00371FE4" w:rsidRPr="00BE536E" w:rsidRDefault="00371FE4" w:rsidP="00D94BA7">
            <w:pPr>
              <w:spacing w:after="0" w:line="240" w:lineRule="auto"/>
              <w:jc w:val="both"/>
              <w:rPr>
                <w:rFonts w:ascii="Verdana" w:hAnsi="Verdana"/>
                <w:sz w:val="20"/>
                <w:szCs w:val="20"/>
              </w:rPr>
            </w:pPr>
          </w:p>
          <w:p w14:paraId="4254E82C" w14:textId="77777777" w:rsidR="00371FE4" w:rsidRPr="00BE536E" w:rsidRDefault="00371FE4" w:rsidP="00D94BA7">
            <w:pPr>
              <w:spacing w:after="0" w:line="240" w:lineRule="auto"/>
              <w:jc w:val="both"/>
              <w:rPr>
                <w:rFonts w:ascii="Verdana" w:hAnsi="Verdana"/>
                <w:sz w:val="20"/>
                <w:szCs w:val="20"/>
              </w:rPr>
            </w:pPr>
            <w:r w:rsidRPr="00BE536E">
              <w:rPr>
                <w:rFonts w:ascii="Verdana" w:hAnsi="Verdana"/>
                <w:sz w:val="20"/>
                <w:szCs w:val="20"/>
              </w:rPr>
              <w:lastRenderedPageBreak/>
              <w:t>В случае, если в расчет СЧА ПИФ включен резерв на выплату вознаграждений, аппроксимация величин, под которые происходит формирование резерва – не требуется.</w:t>
            </w:r>
          </w:p>
          <w:p w14:paraId="4E5BA4D8" w14:textId="77777777" w:rsidR="00AE2A35" w:rsidRPr="00BE536E" w:rsidRDefault="00AE2A35" w:rsidP="00AE2A35">
            <w:pPr>
              <w:rPr>
                <w:rFonts w:ascii="Verdana" w:hAnsi="Verdana"/>
                <w:sz w:val="20"/>
                <w:szCs w:val="20"/>
              </w:rPr>
            </w:pPr>
            <w:r w:rsidRPr="00BE536E">
              <w:rPr>
                <w:rFonts w:ascii="Verdana" w:hAnsi="Verdana"/>
                <w:sz w:val="20"/>
                <w:szCs w:val="20"/>
              </w:rPr>
              <w:t>Справедливая стоимость указанных ниже обязательств определяется на основании  документов, подтверждающих оказанные услуги (аппроксимация не применяется):</w:t>
            </w:r>
          </w:p>
          <w:p w14:paraId="2CCFC989" w14:textId="77777777" w:rsidR="00AE2A35" w:rsidRPr="00BE536E" w:rsidRDefault="00AE2A35" w:rsidP="00AE2A35">
            <w:pPr>
              <w:rPr>
                <w:rFonts w:ascii="Verdana" w:hAnsi="Verdana"/>
                <w:sz w:val="20"/>
                <w:szCs w:val="20"/>
              </w:rPr>
            </w:pPr>
            <w:r w:rsidRPr="00BE536E">
              <w:rPr>
                <w:rFonts w:ascii="Verdana" w:hAnsi="Verdana"/>
                <w:sz w:val="20"/>
                <w:szCs w:val="20"/>
              </w:rPr>
              <w:t>- расходы по обслуживанию банковских счетов (включая валютный контроль);</w:t>
            </w:r>
          </w:p>
          <w:p w14:paraId="3A736928" w14:textId="77777777" w:rsidR="00AE2A35" w:rsidRPr="00BE536E" w:rsidRDefault="00AE2A35" w:rsidP="00AE2A35">
            <w:pPr>
              <w:rPr>
                <w:rFonts w:ascii="Verdana" w:hAnsi="Verdana"/>
                <w:sz w:val="20"/>
                <w:szCs w:val="20"/>
              </w:rPr>
            </w:pPr>
            <w:r w:rsidRPr="00BE536E">
              <w:rPr>
                <w:rFonts w:ascii="Verdana" w:hAnsi="Verdana"/>
                <w:sz w:val="20"/>
                <w:szCs w:val="20"/>
              </w:rPr>
              <w:t>- расходы по оплате услуг организаций по совершению сделок и обслуживанию счетов в таких организациях;</w:t>
            </w:r>
          </w:p>
          <w:p w14:paraId="7895FBF2" w14:textId="77777777" w:rsidR="00AE2A35" w:rsidRPr="00BE536E" w:rsidRDefault="00AE2A35" w:rsidP="00AE2A35">
            <w:pPr>
              <w:rPr>
                <w:rFonts w:ascii="Verdana" w:hAnsi="Verdana"/>
                <w:sz w:val="20"/>
                <w:szCs w:val="20"/>
              </w:rPr>
            </w:pPr>
            <w:r w:rsidRPr="00BE536E">
              <w:rPr>
                <w:rFonts w:ascii="Verdana" w:hAnsi="Verdana"/>
                <w:sz w:val="20"/>
                <w:szCs w:val="20"/>
              </w:rPr>
              <w:t>- расходы третьих лиц, оплачиваемых в соответствии с договором об оказании услуг специализированного депозитария.</w:t>
            </w:r>
          </w:p>
          <w:p w14:paraId="2CEF59A4" w14:textId="77777777" w:rsidR="00AE2A35" w:rsidRPr="00BE536E" w:rsidRDefault="00AE2A35" w:rsidP="00D94BA7">
            <w:pPr>
              <w:spacing w:after="0" w:line="240" w:lineRule="auto"/>
              <w:jc w:val="both"/>
              <w:rPr>
                <w:rFonts w:ascii="Verdana" w:hAnsi="Verdana"/>
                <w:sz w:val="20"/>
                <w:szCs w:val="20"/>
              </w:rPr>
            </w:pPr>
          </w:p>
        </w:tc>
      </w:tr>
      <w:tr w:rsidR="00762789" w:rsidRPr="00BE536E" w14:paraId="30C82ECB" w14:textId="77777777" w:rsidTr="00567222">
        <w:trPr>
          <w:trHeight w:val="1549"/>
        </w:trPr>
        <w:tc>
          <w:tcPr>
            <w:tcW w:w="3746" w:type="dxa"/>
            <w:shd w:val="clear" w:color="auto" w:fill="auto"/>
            <w:vAlign w:val="center"/>
          </w:tcPr>
          <w:p w14:paraId="69B35279" w14:textId="77777777" w:rsidR="00762789" w:rsidRPr="00BE536E" w:rsidRDefault="00762789" w:rsidP="00762789">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lastRenderedPageBreak/>
              <w:t xml:space="preserve">Кредиторская задолженность по договорам аренды, когда арендатором является ПИФ </w:t>
            </w:r>
          </w:p>
        </w:tc>
        <w:tc>
          <w:tcPr>
            <w:tcW w:w="3546" w:type="dxa"/>
            <w:shd w:val="clear" w:color="auto" w:fill="auto"/>
            <w:vAlign w:val="center"/>
          </w:tcPr>
          <w:p w14:paraId="1F6FD04A" w14:textId="77777777" w:rsidR="00762789" w:rsidRPr="00BE536E" w:rsidRDefault="00762789"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определения СЧА ПИФ</w:t>
            </w:r>
          </w:p>
          <w:p w14:paraId="1F9662AE" w14:textId="77777777" w:rsidR="00762789" w:rsidRPr="00BE536E" w:rsidRDefault="00762789"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возникновения обязанности согласно условиям договора</w:t>
            </w:r>
          </w:p>
          <w:p w14:paraId="67545EBD" w14:textId="77777777" w:rsidR="00762789" w:rsidRPr="00BE536E" w:rsidRDefault="00762789" w:rsidP="00762789">
            <w:pPr>
              <w:spacing w:after="0" w:line="240" w:lineRule="auto"/>
              <w:jc w:val="both"/>
              <w:rPr>
                <w:rFonts w:ascii="Verdana" w:eastAsia="Times New Roman" w:hAnsi="Verdana"/>
                <w:bCs/>
                <w:color w:val="000000"/>
                <w:sz w:val="20"/>
                <w:szCs w:val="20"/>
                <w:lang w:eastAsia="ru-RU"/>
              </w:rPr>
            </w:pPr>
          </w:p>
        </w:tc>
        <w:tc>
          <w:tcPr>
            <w:tcW w:w="3335" w:type="dxa"/>
            <w:shd w:val="clear" w:color="auto" w:fill="auto"/>
            <w:vAlign w:val="center"/>
          </w:tcPr>
          <w:p w14:paraId="2AC354F9" w14:textId="77777777" w:rsidR="00762789" w:rsidRPr="00BE536E" w:rsidRDefault="00762789" w:rsidP="00762789">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перечисления суммы с расчетного счета ПИФ согласно банковской выписке</w:t>
            </w:r>
          </w:p>
        </w:tc>
        <w:tc>
          <w:tcPr>
            <w:tcW w:w="3373" w:type="dxa"/>
            <w:shd w:val="clear" w:color="auto" w:fill="auto"/>
            <w:vAlign w:val="center"/>
          </w:tcPr>
          <w:p w14:paraId="229FA5E8" w14:textId="77777777" w:rsidR="008E72E5" w:rsidRPr="00BE536E" w:rsidRDefault="008E72E5" w:rsidP="00567222">
            <w:pPr>
              <w:numPr>
                <w:ilvl w:val="0"/>
                <w:numId w:val="12"/>
              </w:numPr>
              <w:spacing w:after="0" w:line="240" w:lineRule="auto"/>
              <w:ind w:left="0" w:hanging="302"/>
              <w:rPr>
                <w:rFonts w:ascii="Verdana" w:hAnsi="Verdana"/>
                <w:sz w:val="20"/>
                <w:szCs w:val="20"/>
              </w:rPr>
            </w:pPr>
            <w:r w:rsidRPr="00BE536E">
              <w:rPr>
                <w:rFonts w:ascii="Verdana" w:hAnsi="Verdana"/>
                <w:sz w:val="20"/>
                <w:szCs w:val="20"/>
              </w:rPr>
              <w:t>Методы определения справедливой стоимости могут содержать, в частности, способы аппроксимации величины обязательств  при отсутствии информации о точной сумме будущих платежей на дату расчета СЧА.</w:t>
            </w:r>
          </w:p>
          <w:p w14:paraId="61AC79C4" w14:textId="77777777" w:rsidR="00762789" w:rsidRPr="00BE536E" w:rsidRDefault="008E72E5" w:rsidP="008E72E5">
            <w:pPr>
              <w:spacing w:after="0" w:line="240" w:lineRule="auto"/>
              <w:jc w:val="both"/>
              <w:rPr>
                <w:rFonts w:ascii="Verdana" w:hAnsi="Verdana"/>
                <w:sz w:val="20"/>
                <w:szCs w:val="20"/>
              </w:rPr>
            </w:pPr>
            <w:r w:rsidRPr="00BE536E">
              <w:rPr>
                <w:rFonts w:ascii="Verdana" w:hAnsi="Verdana"/>
                <w:sz w:val="20"/>
                <w:szCs w:val="20"/>
              </w:rPr>
              <w:t>Справедливая стоимость обязательства  включается в расчет СЧА в размере её остатка на дату определения СЧА. Не дисконтируется.</w:t>
            </w:r>
          </w:p>
        </w:tc>
      </w:tr>
    </w:tbl>
    <w:p w14:paraId="0AB7EC61" w14:textId="77777777" w:rsidR="00C40786" w:rsidRPr="00BE536E" w:rsidRDefault="00C40786" w:rsidP="00C40786">
      <w:pPr>
        <w:spacing w:line="360" w:lineRule="auto"/>
        <w:rPr>
          <w:rFonts w:ascii="Verdana" w:hAnsi="Verdana"/>
        </w:rPr>
      </w:pPr>
    </w:p>
    <w:p w14:paraId="4CF3F56B" w14:textId="77777777" w:rsidR="00562F17" w:rsidRPr="00BE536E" w:rsidRDefault="00562F17" w:rsidP="00562F17">
      <w:pPr>
        <w:spacing w:line="360" w:lineRule="auto"/>
        <w:ind w:firstLine="708"/>
        <w:jc w:val="both"/>
        <w:rPr>
          <w:sz w:val="24"/>
          <w:szCs w:val="24"/>
        </w:rPr>
      </w:pPr>
      <w:r w:rsidRPr="00BE536E">
        <w:rPr>
          <w:sz w:val="24"/>
          <w:szCs w:val="24"/>
        </w:rPr>
        <w:t>В случае определения величины обязательства методом аппроксимации, Управляющая компания предоставляет соответствующий расчёт Специализированному депозитарию на каждую дату определения СЧА. Данный метод можно применять при наличии данных не менее чем за два последних месяца, предшествующих дате определения СЧА. В дату поступления документа, содержащего информацию о реальном размере начисленного обязательства, производится корректировка размера начисления.</w:t>
      </w:r>
    </w:p>
    <w:p w14:paraId="461ADBD8" w14:textId="77777777" w:rsidR="00C40786" w:rsidRPr="00BE536E" w:rsidRDefault="00C40786" w:rsidP="00C40786">
      <w:pPr>
        <w:jc w:val="both"/>
        <w:rPr>
          <w:rFonts w:ascii="Verdana" w:hAnsi="Verdana"/>
        </w:rPr>
        <w:sectPr w:rsidR="00C40786" w:rsidRPr="00BE536E" w:rsidSect="009F04D1">
          <w:pgSz w:w="15840" w:h="12240" w:orient="landscape"/>
          <w:pgMar w:top="1276" w:right="1134" w:bottom="851" w:left="1134" w:header="720" w:footer="720" w:gutter="0"/>
          <w:cols w:space="720"/>
          <w:noEndnote/>
          <w:docGrid w:linePitch="299"/>
        </w:sectPr>
      </w:pPr>
    </w:p>
    <w:p w14:paraId="0F70BC5F" w14:textId="77777777" w:rsidR="00951A90" w:rsidRPr="00BE536E" w:rsidRDefault="00951A90" w:rsidP="00951A90">
      <w:pPr>
        <w:pStyle w:val="10"/>
        <w:numPr>
          <w:ilvl w:val="0"/>
          <w:numId w:val="0"/>
        </w:numPr>
        <w:ind w:left="432"/>
        <w:jc w:val="left"/>
        <w:rPr>
          <w:rFonts w:ascii="Verdana" w:hAnsi="Verdana" w:cs="Arial"/>
          <w:bCs w:val="0"/>
          <w:iCs w:val="0"/>
          <w:caps/>
          <w:smallCaps w:val="0"/>
          <w:color w:val="943634"/>
          <w:sz w:val="24"/>
        </w:rPr>
      </w:pPr>
      <w:bookmarkStart w:id="21" w:name="_Toc27400765"/>
      <w:r w:rsidRPr="00BE536E">
        <w:rPr>
          <w:rFonts w:ascii="Verdana" w:hAnsi="Verdana" w:cs="Arial"/>
          <w:b w:val="0"/>
          <w:bCs w:val="0"/>
          <w:iCs w:val="0"/>
          <w:caps/>
          <w:smallCaps w:val="0"/>
          <w:color w:val="943634"/>
          <w:sz w:val="24"/>
        </w:rPr>
        <w:lastRenderedPageBreak/>
        <w:t xml:space="preserve">Приложение 7. </w:t>
      </w:r>
      <w:r w:rsidRPr="00BE536E">
        <w:rPr>
          <w:rFonts w:ascii="Verdana" w:hAnsi="Verdana" w:cs="Arial"/>
          <w:bCs w:val="0"/>
          <w:iCs w:val="0"/>
          <w:caps/>
          <w:smallCaps w:val="0"/>
          <w:color w:val="943634"/>
          <w:sz w:val="24"/>
        </w:rPr>
        <w:t>ОПЕРАЦИОННАЯ ДЕБИТОРСКАЯ ЗАДОЛЖЕННОСТЬ</w:t>
      </w:r>
    </w:p>
    <w:p w14:paraId="72F74640" w14:textId="77777777" w:rsidR="00951A90" w:rsidRPr="00BE536E" w:rsidRDefault="00951A90" w:rsidP="00951A90">
      <w:pPr>
        <w:autoSpaceDE w:val="0"/>
        <w:autoSpaceDN w:val="0"/>
        <w:spacing w:before="120" w:after="120" w:line="360" w:lineRule="auto"/>
        <w:ind w:firstLine="567"/>
        <w:jc w:val="both"/>
        <w:rPr>
          <w:rFonts w:ascii="Verdana" w:hAnsi="Verdana"/>
        </w:rPr>
      </w:pPr>
    </w:p>
    <w:p w14:paraId="134EF8DE" w14:textId="77777777" w:rsidR="00951A90" w:rsidRPr="00BE536E" w:rsidRDefault="00951A90" w:rsidP="00951A90">
      <w:pPr>
        <w:autoSpaceDE w:val="0"/>
        <w:autoSpaceDN w:val="0"/>
        <w:spacing w:before="120" w:after="120" w:line="360" w:lineRule="auto"/>
        <w:ind w:firstLine="567"/>
        <w:jc w:val="both"/>
        <w:rPr>
          <w:sz w:val="20"/>
          <w:lang w:eastAsia="ru-RU"/>
        </w:rPr>
      </w:pPr>
      <w:r w:rsidRPr="00BE536E">
        <w:rPr>
          <w:rFonts w:ascii="Verdana" w:hAnsi="Verdana"/>
          <w:sz w:val="20"/>
        </w:rPr>
        <w:t>Признание дебиторской задолженности операционной осуществляется на основании условий погашения и допустимых сроков просрочки исполнения обязательств контрагентов, установленных по каждому виду дебиторской задолженности в соответствующих приложениях настоящих Правил определения СЧА. Отсутствие указания на возможность признания дебиторской задолженности операционной означает, что такая задолженность не может быть квалифицирована, как операционная.</w:t>
      </w:r>
    </w:p>
    <w:p w14:paraId="57AE1A9D" w14:textId="77777777" w:rsidR="00951A90" w:rsidRPr="00BE536E" w:rsidRDefault="00951A90" w:rsidP="00951A90">
      <w:pPr>
        <w:autoSpaceDE w:val="0"/>
        <w:autoSpaceDN w:val="0"/>
        <w:spacing w:before="120" w:after="120" w:line="360" w:lineRule="auto"/>
        <w:ind w:firstLine="708"/>
        <w:jc w:val="both"/>
        <w:rPr>
          <w:rFonts w:ascii="Verdana" w:hAnsi="Verdana"/>
          <w:sz w:val="20"/>
        </w:rPr>
      </w:pPr>
      <w:r w:rsidRPr="00BE536E">
        <w:rPr>
          <w:rFonts w:ascii="Verdana" w:hAnsi="Verdana"/>
          <w:sz w:val="20"/>
        </w:rPr>
        <w:t xml:space="preserve">  Дебиторская задолженность, по которой выявлен один или несколько признаков обесценения, указанных в Приложении 5, кроме допустимой просрочки обязательств в рамках операционного цикла, не может быть признана операционной.</w:t>
      </w:r>
    </w:p>
    <w:p w14:paraId="4D3FDB31" w14:textId="77777777" w:rsidR="00951A90" w:rsidRPr="00BE536E" w:rsidRDefault="00951A90" w:rsidP="00951A90">
      <w:pPr>
        <w:autoSpaceDE w:val="0"/>
        <w:autoSpaceDN w:val="0"/>
        <w:spacing w:before="120" w:after="120" w:line="360" w:lineRule="auto"/>
        <w:ind w:firstLine="708"/>
        <w:jc w:val="both"/>
        <w:rPr>
          <w:rFonts w:ascii="Verdana" w:hAnsi="Verdana"/>
          <w:sz w:val="20"/>
        </w:rPr>
      </w:pPr>
      <w:r w:rsidRPr="00BE536E">
        <w:rPr>
          <w:rFonts w:ascii="Verdana" w:hAnsi="Verdana"/>
          <w:sz w:val="20"/>
        </w:rPr>
        <w:t>Дебиторская задолженность с повышенным уровнем риска невозврата не может быть признана операционной (например, если у контрагента отсутствуют источники погашения такой задолженности).</w:t>
      </w:r>
    </w:p>
    <w:p w14:paraId="25C8BEB2" w14:textId="77777777" w:rsidR="00951A90" w:rsidRPr="00BE536E" w:rsidRDefault="00951A90" w:rsidP="00951A90">
      <w:pPr>
        <w:autoSpaceDE w:val="0"/>
        <w:autoSpaceDN w:val="0"/>
        <w:spacing w:before="120" w:after="120" w:line="360" w:lineRule="auto"/>
        <w:ind w:firstLine="708"/>
        <w:jc w:val="both"/>
        <w:rPr>
          <w:rFonts w:ascii="Verdana" w:hAnsi="Verdana"/>
          <w:sz w:val="20"/>
        </w:rPr>
      </w:pPr>
      <w:r w:rsidRPr="00BE536E">
        <w:rPr>
          <w:rFonts w:ascii="Verdana" w:hAnsi="Verdana"/>
          <w:sz w:val="20"/>
        </w:rPr>
        <w:t xml:space="preserve">Управляющая компания должна проводить анализ уровня риска по дебиторской задолженности, которая ранее была квалифицирована операционной, и по иной дебиторской задолженности, признание которой осуществляется. </w:t>
      </w:r>
    </w:p>
    <w:p w14:paraId="2148689D" w14:textId="77777777" w:rsidR="00951A90" w:rsidRPr="00BE536E" w:rsidRDefault="00951A90" w:rsidP="00951A90">
      <w:pPr>
        <w:autoSpaceDE w:val="0"/>
        <w:autoSpaceDN w:val="0"/>
        <w:spacing w:before="120" w:after="120" w:line="360" w:lineRule="auto"/>
        <w:ind w:firstLine="360"/>
        <w:jc w:val="both"/>
        <w:rPr>
          <w:rFonts w:ascii="Verdana" w:hAnsi="Verdana"/>
          <w:sz w:val="20"/>
        </w:rPr>
      </w:pPr>
      <w:r w:rsidRPr="00BE536E">
        <w:rPr>
          <w:rFonts w:ascii="Verdana" w:hAnsi="Verdana"/>
          <w:sz w:val="20"/>
        </w:rPr>
        <w:t xml:space="preserve">Анализ уровня риска проводится: </w:t>
      </w:r>
    </w:p>
    <w:p w14:paraId="71E2207B" w14:textId="77777777" w:rsidR="00951A90" w:rsidRPr="00BE536E" w:rsidRDefault="00951A90" w:rsidP="00D05311">
      <w:pPr>
        <w:numPr>
          <w:ilvl w:val="0"/>
          <w:numId w:val="85"/>
        </w:numPr>
        <w:autoSpaceDE w:val="0"/>
        <w:autoSpaceDN w:val="0"/>
        <w:spacing w:before="120" w:after="120" w:line="360" w:lineRule="auto"/>
        <w:jc w:val="both"/>
        <w:rPr>
          <w:rFonts w:ascii="Verdana" w:hAnsi="Verdana"/>
          <w:sz w:val="20"/>
        </w:rPr>
      </w:pPr>
      <w:r w:rsidRPr="00BE536E">
        <w:rPr>
          <w:rFonts w:ascii="Verdana" w:hAnsi="Verdana"/>
          <w:sz w:val="20"/>
        </w:rPr>
        <w:t>на каждую отчетную дату, установленную Правилами определения СЧА ПИФ;</w:t>
      </w:r>
    </w:p>
    <w:p w14:paraId="0B04F989" w14:textId="77777777" w:rsidR="00951A90" w:rsidRPr="00BE536E" w:rsidRDefault="00951A90" w:rsidP="00D05311">
      <w:pPr>
        <w:numPr>
          <w:ilvl w:val="0"/>
          <w:numId w:val="85"/>
        </w:numPr>
        <w:autoSpaceDE w:val="0"/>
        <w:autoSpaceDN w:val="0"/>
        <w:spacing w:before="120" w:after="120" w:line="360" w:lineRule="auto"/>
        <w:jc w:val="both"/>
        <w:rPr>
          <w:rFonts w:ascii="Verdana" w:hAnsi="Verdana"/>
          <w:sz w:val="20"/>
        </w:rPr>
      </w:pPr>
      <w:r w:rsidRPr="00BE536E">
        <w:rPr>
          <w:rFonts w:ascii="Verdana" w:hAnsi="Verdana"/>
          <w:sz w:val="20"/>
        </w:rPr>
        <w:t>при первоначальном признании дебиторской задолженности;</w:t>
      </w:r>
    </w:p>
    <w:p w14:paraId="58E5B125" w14:textId="77777777" w:rsidR="00951A90" w:rsidRPr="00BE536E" w:rsidRDefault="00951A90" w:rsidP="00D05311">
      <w:pPr>
        <w:numPr>
          <w:ilvl w:val="0"/>
          <w:numId w:val="85"/>
        </w:numPr>
        <w:autoSpaceDE w:val="0"/>
        <w:autoSpaceDN w:val="0"/>
        <w:spacing w:before="120" w:after="120" w:line="360" w:lineRule="auto"/>
        <w:jc w:val="both"/>
        <w:rPr>
          <w:rFonts w:ascii="Verdana" w:hAnsi="Verdana"/>
          <w:sz w:val="20"/>
        </w:rPr>
      </w:pPr>
      <w:r w:rsidRPr="00BE536E">
        <w:rPr>
          <w:rFonts w:ascii="Verdana" w:hAnsi="Verdana"/>
          <w:sz w:val="20"/>
        </w:rPr>
        <w:t>на момент перехода дебиторской задолженности из статуса «операционной» в статус «просроченной».</w:t>
      </w:r>
    </w:p>
    <w:p w14:paraId="7EC9B101" w14:textId="77777777" w:rsidR="00951A90" w:rsidRPr="00BE536E" w:rsidRDefault="00951A90" w:rsidP="00951A90">
      <w:pPr>
        <w:autoSpaceDE w:val="0"/>
        <w:autoSpaceDN w:val="0"/>
        <w:spacing w:before="120" w:after="120" w:line="360" w:lineRule="auto"/>
        <w:ind w:firstLine="567"/>
        <w:jc w:val="both"/>
        <w:rPr>
          <w:rFonts w:ascii="Verdana" w:hAnsi="Verdana"/>
          <w:sz w:val="20"/>
        </w:rPr>
      </w:pPr>
      <w:r w:rsidRPr="00BE536E">
        <w:rPr>
          <w:rFonts w:ascii="Verdana" w:hAnsi="Verdana"/>
          <w:sz w:val="20"/>
        </w:rPr>
        <w:t>Для целей проведения анализа, Управляющая компания должна использовать обоснованную и подтверждаемую информацию, доступную ей без чрезмерных затрат и усилий.</w:t>
      </w:r>
    </w:p>
    <w:p w14:paraId="1A986807" w14:textId="77777777" w:rsidR="00951A90" w:rsidRPr="00BE536E" w:rsidRDefault="00951A90" w:rsidP="00951A90">
      <w:pPr>
        <w:autoSpaceDE w:val="0"/>
        <w:autoSpaceDN w:val="0"/>
        <w:spacing w:before="120" w:after="120" w:line="360" w:lineRule="auto"/>
        <w:ind w:firstLine="360"/>
        <w:jc w:val="both"/>
        <w:rPr>
          <w:rFonts w:ascii="Verdana" w:hAnsi="Verdana"/>
          <w:sz w:val="20"/>
        </w:rPr>
      </w:pPr>
      <w:r w:rsidRPr="00BE536E">
        <w:rPr>
          <w:rFonts w:ascii="Verdana" w:hAnsi="Verdana"/>
          <w:sz w:val="20"/>
        </w:rPr>
        <w:t>В процессе анализа Управляющая компания определяет:</w:t>
      </w:r>
    </w:p>
    <w:p w14:paraId="63DBA756" w14:textId="77777777" w:rsidR="00951A90" w:rsidRPr="00BE536E" w:rsidRDefault="00951A90" w:rsidP="00D05311">
      <w:pPr>
        <w:numPr>
          <w:ilvl w:val="0"/>
          <w:numId w:val="86"/>
        </w:numPr>
        <w:autoSpaceDE w:val="0"/>
        <w:autoSpaceDN w:val="0"/>
        <w:spacing w:before="120" w:after="120" w:line="360" w:lineRule="auto"/>
        <w:jc w:val="both"/>
        <w:rPr>
          <w:rFonts w:ascii="Verdana" w:hAnsi="Verdana"/>
          <w:sz w:val="20"/>
        </w:rPr>
      </w:pPr>
      <w:r w:rsidRPr="00BE536E">
        <w:rPr>
          <w:rFonts w:ascii="Verdana" w:hAnsi="Verdana"/>
          <w:sz w:val="20"/>
        </w:rPr>
        <w:t xml:space="preserve">возможность квалификации дебиторской задолженности в качестве операционной, признание которой осуществляется  впервые; </w:t>
      </w:r>
    </w:p>
    <w:p w14:paraId="7CAF836D" w14:textId="77777777" w:rsidR="00951A90" w:rsidRPr="00BE536E" w:rsidRDefault="00951A90" w:rsidP="00D05311">
      <w:pPr>
        <w:numPr>
          <w:ilvl w:val="0"/>
          <w:numId w:val="86"/>
        </w:numPr>
        <w:autoSpaceDE w:val="0"/>
        <w:autoSpaceDN w:val="0"/>
        <w:spacing w:before="120" w:after="120" w:line="360" w:lineRule="auto"/>
        <w:jc w:val="both"/>
        <w:rPr>
          <w:rFonts w:ascii="Verdana" w:hAnsi="Verdana"/>
          <w:sz w:val="20"/>
        </w:rPr>
      </w:pPr>
      <w:r w:rsidRPr="00BE536E">
        <w:rPr>
          <w:rFonts w:ascii="Verdana" w:hAnsi="Verdana"/>
          <w:sz w:val="20"/>
        </w:rPr>
        <w:t>необходимость изменения подхода к учету дебиторской задолженности, ранее признанной операционной.</w:t>
      </w:r>
    </w:p>
    <w:p w14:paraId="7451F018" w14:textId="77777777" w:rsidR="00951A90" w:rsidRPr="00BE536E" w:rsidRDefault="00951A90" w:rsidP="00951A90">
      <w:pPr>
        <w:spacing w:after="0" w:line="360" w:lineRule="auto"/>
        <w:ind w:left="1" w:firstLine="566"/>
        <w:jc w:val="both"/>
        <w:rPr>
          <w:rFonts w:ascii="Verdana" w:hAnsi="Verdana"/>
          <w:sz w:val="20"/>
        </w:rPr>
      </w:pPr>
      <w:r w:rsidRPr="00BE536E">
        <w:rPr>
          <w:rFonts w:ascii="Verdana" w:hAnsi="Verdana"/>
          <w:sz w:val="20"/>
        </w:rPr>
        <w:lastRenderedPageBreak/>
        <w:t>Более подробно информация о критериях квалификации разных видов дебиторской задолженности как операционной рассмотрена в соответствующих приложениях настоящих Правил определения СЧА.</w:t>
      </w:r>
    </w:p>
    <w:p w14:paraId="0674C088" w14:textId="77777777" w:rsidR="00951A90" w:rsidRPr="00BE536E" w:rsidRDefault="00951A90" w:rsidP="00951A90">
      <w:pPr>
        <w:spacing w:after="0" w:line="360" w:lineRule="auto"/>
        <w:ind w:left="1" w:firstLine="566"/>
        <w:jc w:val="both"/>
        <w:rPr>
          <w:rFonts w:ascii="Verdana" w:hAnsi="Verdana"/>
          <w:sz w:val="20"/>
        </w:rPr>
      </w:pPr>
      <w:r w:rsidRPr="00BE536E">
        <w:rPr>
          <w:rFonts w:ascii="Verdana" w:hAnsi="Verdana"/>
          <w:sz w:val="20"/>
        </w:rPr>
        <w:t>В течение всего срока квалификации дебиторской задолженности как  операционной,  ее справедливая стоимость определяется в номинальной величине на дату определения справедливой стоимости в отсутствии иных признаков обесценения.</w:t>
      </w:r>
    </w:p>
    <w:p w14:paraId="480AE5F7"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65251649"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5AD4DB64"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32F1623F"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7152D955"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126898E7"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51BE95AE" w14:textId="77777777" w:rsidR="00951A90" w:rsidRPr="00BE536E" w:rsidRDefault="00951A90" w:rsidP="00951A90">
      <w:pPr>
        <w:rPr>
          <w:lang w:eastAsia="ru-RU"/>
        </w:rPr>
      </w:pPr>
    </w:p>
    <w:p w14:paraId="17812428" w14:textId="77777777" w:rsidR="00951A90" w:rsidRPr="00BE536E" w:rsidRDefault="00951A90" w:rsidP="00951A90">
      <w:pPr>
        <w:rPr>
          <w:lang w:eastAsia="ru-RU"/>
        </w:rPr>
      </w:pPr>
    </w:p>
    <w:p w14:paraId="5054D43E" w14:textId="77777777" w:rsidR="00951A90" w:rsidRPr="00BE536E" w:rsidRDefault="00951A90" w:rsidP="00951A90">
      <w:pPr>
        <w:rPr>
          <w:lang w:eastAsia="ru-RU"/>
        </w:rPr>
      </w:pPr>
    </w:p>
    <w:p w14:paraId="615F33D3" w14:textId="77777777" w:rsidR="00951A90" w:rsidRPr="00BE536E" w:rsidRDefault="00951A90" w:rsidP="00951A90">
      <w:pPr>
        <w:rPr>
          <w:lang w:eastAsia="ru-RU"/>
        </w:rPr>
      </w:pPr>
    </w:p>
    <w:p w14:paraId="1C5415AC" w14:textId="77777777" w:rsidR="00951A90" w:rsidRPr="00BE536E" w:rsidRDefault="00951A90" w:rsidP="00951A90">
      <w:pPr>
        <w:rPr>
          <w:lang w:eastAsia="ru-RU"/>
        </w:rPr>
      </w:pPr>
    </w:p>
    <w:p w14:paraId="60D0302A" w14:textId="77777777" w:rsidR="00951A90" w:rsidRPr="00BE536E" w:rsidRDefault="00951A90" w:rsidP="00951A90">
      <w:pPr>
        <w:rPr>
          <w:lang w:eastAsia="ru-RU"/>
        </w:rPr>
      </w:pPr>
    </w:p>
    <w:p w14:paraId="2DD49C71" w14:textId="77777777" w:rsidR="00951A90" w:rsidRPr="00BE536E" w:rsidRDefault="00951A90" w:rsidP="00951A90">
      <w:pPr>
        <w:rPr>
          <w:lang w:eastAsia="ru-RU"/>
        </w:rPr>
      </w:pPr>
    </w:p>
    <w:p w14:paraId="50826514" w14:textId="77777777" w:rsidR="00951A90" w:rsidRPr="00BE536E" w:rsidRDefault="00951A90" w:rsidP="00951A90">
      <w:pPr>
        <w:rPr>
          <w:lang w:eastAsia="ru-RU"/>
        </w:rPr>
      </w:pPr>
    </w:p>
    <w:p w14:paraId="356C9BCA" w14:textId="77777777" w:rsidR="00951A90" w:rsidRPr="00BE536E" w:rsidRDefault="00951A90" w:rsidP="00951A90">
      <w:pPr>
        <w:rPr>
          <w:lang w:eastAsia="ru-RU"/>
        </w:rPr>
      </w:pPr>
    </w:p>
    <w:p w14:paraId="22A160F6" w14:textId="77777777" w:rsidR="00951A90" w:rsidRPr="00BE536E" w:rsidRDefault="00951A90" w:rsidP="00951A90">
      <w:pPr>
        <w:rPr>
          <w:lang w:eastAsia="ru-RU"/>
        </w:rPr>
      </w:pPr>
    </w:p>
    <w:p w14:paraId="24118946" w14:textId="77777777" w:rsidR="00951A90" w:rsidRPr="00BE536E" w:rsidRDefault="00951A90" w:rsidP="00951A90">
      <w:pPr>
        <w:rPr>
          <w:lang w:eastAsia="ru-RU"/>
        </w:rPr>
      </w:pPr>
    </w:p>
    <w:p w14:paraId="4FCBF5FB" w14:textId="77777777" w:rsidR="00AF476B"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951A90" w:rsidRPr="00BE536E">
        <w:rPr>
          <w:rFonts w:ascii="Verdana" w:hAnsi="Verdana" w:cs="Arial"/>
          <w:b w:val="0"/>
          <w:bCs w:val="0"/>
          <w:iCs w:val="0"/>
          <w:caps/>
          <w:smallCaps w:val="0"/>
          <w:color w:val="943634"/>
          <w:sz w:val="24"/>
        </w:rPr>
        <w:t>8</w:t>
      </w:r>
      <w:r w:rsidRPr="00BE536E">
        <w:rPr>
          <w:rFonts w:ascii="Verdana" w:hAnsi="Verdana" w:cs="Arial"/>
          <w:b w:val="0"/>
          <w:bCs w:val="0"/>
          <w:iCs w:val="0"/>
          <w:caps/>
          <w:smallCaps w:val="0"/>
          <w:color w:val="943634"/>
          <w:sz w:val="24"/>
        </w:rPr>
        <w:t xml:space="preserve">. </w:t>
      </w:r>
      <w:r w:rsidR="003E70C8" w:rsidRPr="00BE536E">
        <w:rPr>
          <w:rFonts w:ascii="Verdana" w:hAnsi="Verdana" w:cs="Arial"/>
          <w:bCs w:val="0"/>
          <w:iCs w:val="0"/>
          <w:caps/>
          <w:smallCaps w:val="0"/>
          <w:color w:val="943634"/>
          <w:sz w:val="24"/>
        </w:rPr>
        <w:t>Д</w:t>
      </w:r>
      <w:r w:rsidR="00AF476B" w:rsidRPr="00BE536E">
        <w:rPr>
          <w:rFonts w:ascii="Verdana" w:hAnsi="Verdana" w:cs="Arial"/>
          <w:bCs w:val="0"/>
          <w:iCs w:val="0"/>
          <w:caps/>
          <w:smallCaps w:val="0"/>
          <w:color w:val="943634"/>
          <w:sz w:val="24"/>
        </w:rPr>
        <w:t>енежны</w:t>
      </w:r>
      <w:r w:rsidR="003E70C8" w:rsidRPr="00BE536E">
        <w:rPr>
          <w:rFonts w:ascii="Verdana" w:hAnsi="Verdana" w:cs="Arial"/>
          <w:bCs w:val="0"/>
          <w:iCs w:val="0"/>
          <w:caps/>
          <w:smallCaps w:val="0"/>
          <w:color w:val="943634"/>
          <w:sz w:val="24"/>
        </w:rPr>
        <w:t>е</w:t>
      </w:r>
      <w:r w:rsidR="00AF476B" w:rsidRPr="00BE536E">
        <w:rPr>
          <w:rFonts w:ascii="Verdana" w:hAnsi="Verdana" w:cs="Arial"/>
          <w:bCs w:val="0"/>
          <w:iCs w:val="0"/>
          <w:caps/>
          <w:smallCaps w:val="0"/>
          <w:color w:val="943634"/>
          <w:sz w:val="24"/>
        </w:rPr>
        <w:t xml:space="preserve"> средств</w:t>
      </w:r>
      <w:r w:rsidR="003E70C8" w:rsidRPr="00BE536E">
        <w:rPr>
          <w:rFonts w:ascii="Verdana" w:hAnsi="Verdana" w:cs="Arial"/>
          <w:bCs w:val="0"/>
          <w:iCs w:val="0"/>
          <w:caps/>
          <w:smallCaps w:val="0"/>
          <w:color w:val="943634"/>
          <w:sz w:val="24"/>
        </w:rPr>
        <w:t>а</w:t>
      </w:r>
      <w:r w:rsidR="00AF476B" w:rsidRPr="00BE536E">
        <w:rPr>
          <w:rFonts w:ascii="Verdana" w:hAnsi="Verdana" w:cs="Arial"/>
          <w:bCs w:val="0"/>
          <w:iCs w:val="0"/>
          <w:caps/>
          <w:smallCaps w:val="0"/>
          <w:color w:val="943634"/>
          <w:sz w:val="24"/>
        </w:rPr>
        <w:t xml:space="preserve"> на счетах, в том числе на транзитных, валютных счетах, открытых на управляющую компанию Д.У. </w:t>
      </w:r>
      <w:r w:rsidR="0092715D" w:rsidRPr="00BE536E">
        <w:rPr>
          <w:rFonts w:ascii="Verdana" w:hAnsi="Verdana" w:cs="Arial"/>
          <w:bCs w:val="0"/>
          <w:iCs w:val="0"/>
          <w:caps/>
          <w:smallCaps w:val="0"/>
          <w:color w:val="943634"/>
          <w:sz w:val="24"/>
        </w:rPr>
        <w:t>ПИФ</w:t>
      </w:r>
      <w:bookmarkEnd w:id="21"/>
    </w:p>
    <w:p w14:paraId="5EA876D2" w14:textId="77777777" w:rsidR="004208AF" w:rsidRPr="00BE536E" w:rsidRDefault="004208AF" w:rsidP="00CD457F">
      <w:pPr>
        <w:spacing w:after="0" w:line="240" w:lineRule="auto"/>
        <w:ind w:left="5245"/>
        <w:jc w:val="both"/>
        <w:rPr>
          <w:rFonts w:ascii="Verdana" w:hAnsi="Verdana" w:cs="Arial"/>
          <w:b/>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D457F" w:rsidRPr="00BE536E" w14:paraId="4D69408C" w14:textId="77777777" w:rsidTr="00D11056">
        <w:trPr>
          <w:trHeight w:val="363"/>
        </w:trPr>
        <w:tc>
          <w:tcPr>
            <w:tcW w:w="1984" w:type="dxa"/>
            <w:shd w:val="clear" w:color="auto" w:fill="A6A6A6"/>
          </w:tcPr>
          <w:p w14:paraId="7FE351EB" w14:textId="77777777" w:rsidR="00CD457F" w:rsidRPr="00BE536E" w:rsidRDefault="00CD457F" w:rsidP="00D41B68">
            <w:pPr>
              <w:jc w:val="both"/>
              <w:rPr>
                <w:rFonts w:ascii="Verdana" w:hAnsi="Verdana"/>
                <w:i/>
                <w:sz w:val="20"/>
                <w:szCs w:val="20"/>
              </w:rPr>
            </w:pPr>
            <w:r w:rsidRPr="00BE536E">
              <w:rPr>
                <w:rFonts w:ascii="Verdana" w:hAnsi="Verdana"/>
                <w:i/>
                <w:sz w:val="20"/>
                <w:szCs w:val="20"/>
              </w:rPr>
              <w:t>Виды активов</w:t>
            </w:r>
          </w:p>
        </w:tc>
        <w:tc>
          <w:tcPr>
            <w:tcW w:w="7371" w:type="dxa"/>
          </w:tcPr>
          <w:p w14:paraId="4ECA9955" w14:textId="77777777" w:rsidR="00CD457F" w:rsidRPr="00BE536E" w:rsidRDefault="002024DE" w:rsidP="00D41B68">
            <w:pPr>
              <w:spacing w:after="0" w:line="240" w:lineRule="auto"/>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Денежные средства на счетах, в том </w:t>
            </w:r>
            <w:r w:rsidRPr="00BE536E">
              <w:rPr>
                <w:rFonts w:ascii="Verdana" w:eastAsia="Times New Roman" w:hAnsi="Verdana"/>
                <w:bCs/>
                <w:sz w:val="20"/>
                <w:szCs w:val="20"/>
                <w:lang w:eastAsia="ru-RU"/>
              </w:rPr>
              <w:t>числе на транзитных, валютных счетах</w:t>
            </w:r>
            <w:r w:rsidRPr="00BE536E">
              <w:rPr>
                <w:rFonts w:ascii="Verdana" w:eastAsia="Times New Roman" w:hAnsi="Verdana"/>
                <w:bCs/>
                <w:color w:val="000000"/>
                <w:sz w:val="20"/>
                <w:szCs w:val="20"/>
                <w:lang w:eastAsia="ru-RU"/>
              </w:rPr>
              <w:t xml:space="preserve">, открытых на управляющую компанию Д.У. </w:t>
            </w:r>
            <w:r w:rsidR="0092715D" w:rsidRPr="00BE536E">
              <w:rPr>
                <w:rFonts w:ascii="Verdana" w:eastAsia="Times New Roman" w:hAnsi="Verdana"/>
                <w:bCs/>
                <w:color w:val="000000"/>
                <w:sz w:val="20"/>
                <w:szCs w:val="20"/>
                <w:lang w:eastAsia="ru-RU"/>
              </w:rPr>
              <w:t>ПИФ</w:t>
            </w:r>
          </w:p>
        </w:tc>
      </w:tr>
      <w:tr w:rsidR="00CD457F" w:rsidRPr="00BE536E" w14:paraId="40E9EE90" w14:textId="77777777" w:rsidTr="00D11056">
        <w:trPr>
          <w:trHeight w:val="943"/>
        </w:trPr>
        <w:tc>
          <w:tcPr>
            <w:tcW w:w="1984" w:type="dxa"/>
            <w:shd w:val="clear" w:color="auto" w:fill="A6A6A6"/>
          </w:tcPr>
          <w:p w14:paraId="59DE1F90" w14:textId="77777777" w:rsidR="00CD457F" w:rsidRPr="00BE536E" w:rsidRDefault="00CD457F" w:rsidP="00D41B6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396DB5F3" w14:textId="77777777" w:rsidR="008652C3" w:rsidRPr="00BE536E" w:rsidRDefault="002024DE" w:rsidP="0004471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денежных средств на соответствующ</w:t>
            </w:r>
            <w:r w:rsidR="00E614F4" w:rsidRPr="00BE536E">
              <w:rPr>
                <w:rFonts w:ascii="Verdana" w:eastAsia="Times New Roman" w:hAnsi="Verdana"/>
                <w:bCs/>
                <w:color w:val="000000"/>
                <w:sz w:val="20"/>
                <w:szCs w:val="20"/>
                <w:lang w:eastAsia="ru-RU"/>
              </w:rPr>
              <w:t xml:space="preserve">ий банковский счет (расчетный, </w:t>
            </w:r>
            <w:r w:rsidRPr="00BE536E">
              <w:rPr>
                <w:rFonts w:ascii="Verdana" w:eastAsia="Times New Roman" w:hAnsi="Verdana"/>
                <w:bCs/>
                <w:color w:val="000000"/>
                <w:sz w:val="20"/>
                <w:szCs w:val="20"/>
                <w:lang w:eastAsia="ru-RU"/>
              </w:rPr>
              <w:t>транзитный</w:t>
            </w:r>
            <w:r w:rsidR="009D42F8" w:rsidRPr="00BE536E">
              <w:rPr>
                <w:rFonts w:ascii="Verdana" w:eastAsia="Times New Roman" w:hAnsi="Verdana"/>
                <w:bCs/>
                <w:color w:val="000000"/>
                <w:sz w:val="20"/>
                <w:szCs w:val="20"/>
                <w:lang w:eastAsia="ru-RU"/>
              </w:rPr>
              <w:t>,</w:t>
            </w:r>
            <w:r w:rsidRPr="00BE536E">
              <w:rPr>
                <w:rFonts w:ascii="Verdana" w:eastAsia="Times New Roman" w:hAnsi="Verdana"/>
                <w:bCs/>
                <w:color w:val="000000"/>
                <w:sz w:val="20"/>
                <w:szCs w:val="20"/>
                <w:lang w:eastAsia="ru-RU"/>
              </w:rPr>
              <w:t xml:space="preserve"> валютный) на основ</w:t>
            </w:r>
            <w:r w:rsidR="00E614F4" w:rsidRPr="00BE536E">
              <w:rPr>
                <w:rFonts w:ascii="Verdana" w:eastAsia="Times New Roman" w:hAnsi="Verdana"/>
                <w:bCs/>
                <w:color w:val="000000"/>
                <w:sz w:val="20"/>
                <w:szCs w:val="20"/>
                <w:lang w:eastAsia="ru-RU"/>
              </w:rPr>
              <w:t>ании выписки с указанного счета.</w:t>
            </w:r>
          </w:p>
        </w:tc>
      </w:tr>
      <w:tr w:rsidR="00CD457F" w:rsidRPr="00BE536E" w14:paraId="49EC0EF0" w14:textId="77777777" w:rsidTr="00D11056">
        <w:trPr>
          <w:trHeight w:val="2118"/>
        </w:trPr>
        <w:tc>
          <w:tcPr>
            <w:tcW w:w="1984" w:type="dxa"/>
            <w:shd w:val="clear" w:color="auto" w:fill="A6A6A6"/>
          </w:tcPr>
          <w:p w14:paraId="6971E87F" w14:textId="77777777" w:rsidR="00CD457F" w:rsidRPr="00BE536E" w:rsidRDefault="00CD457F" w:rsidP="00D41B68">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51F13657" w14:textId="77777777" w:rsidR="000A2B5D" w:rsidRPr="00BE536E" w:rsidRDefault="002024DE" w:rsidP="0026143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исполнения кредитной организацией обязательств по</w:t>
            </w:r>
            <w:r w:rsidR="008652C3" w:rsidRPr="00BE536E">
              <w:rPr>
                <w:rFonts w:ascii="Verdana" w:eastAsia="Times New Roman" w:hAnsi="Verdana"/>
                <w:bCs/>
                <w:color w:val="000000"/>
                <w:sz w:val="20"/>
                <w:szCs w:val="20"/>
                <w:lang w:eastAsia="ru-RU"/>
              </w:rPr>
              <w:t xml:space="preserve"> перечислению денежных средств со счета;</w:t>
            </w:r>
          </w:p>
          <w:p w14:paraId="2DBE7828" w14:textId="77777777" w:rsidR="00E24712" w:rsidRPr="00BE536E" w:rsidRDefault="008652C3" w:rsidP="00E24712">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w:t>
            </w:r>
            <w:r w:rsidR="002024DE" w:rsidRPr="00BE536E">
              <w:rPr>
                <w:rFonts w:ascii="Verdana" w:eastAsia="Times New Roman" w:hAnsi="Verdana"/>
                <w:bCs/>
                <w:color w:val="000000"/>
                <w:sz w:val="20"/>
                <w:szCs w:val="20"/>
                <w:lang w:eastAsia="ru-RU"/>
              </w:rPr>
              <w:t xml:space="preserve">ата решения Банка России об отзыве лицензии банка (денежные средства переходят в статус </w:t>
            </w:r>
            <w:r w:rsidR="00D637E5" w:rsidRPr="00BE536E">
              <w:rPr>
                <w:rFonts w:ascii="Verdana" w:eastAsia="Times New Roman" w:hAnsi="Verdana"/>
                <w:bCs/>
                <w:color w:val="000000"/>
                <w:sz w:val="20"/>
                <w:szCs w:val="20"/>
                <w:lang w:eastAsia="ru-RU"/>
              </w:rPr>
              <w:t xml:space="preserve">прочей </w:t>
            </w:r>
            <w:r w:rsidR="002024DE" w:rsidRPr="00BE536E">
              <w:rPr>
                <w:rFonts w:ascii="Verdana" w:eastAsia="Times New Roman" w:hAnsi="Verdana"/>
                <w:bCs/>
                <w:color w:val="000000"/>
                <w:sz w:val="20"/>
                <w:szCs w:val="20"/>
                <w:lang w:eastAsia="ru-RU"/>
              </w:rPr>
              <w:t>дебиторской задолженности);</w:t>
            </w:r>
          </w:p>
          <w:p w14:paraId="7F14541E" w14:textId="77777777" w:rsidR="00BB1E64" w:rsidRPr="00BE536E" w:rsidRDefault="0092168D" w:rsidP="00F368D4">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tc>
      </w:tr>
      <w:tr w:rsidR="00CD457F" w:rsidRPr="00BE536E" w14:paraId="3B4E409E" w14:textId="77777777" w:rsidTr="00D11056">
        <w:trPr>
          <w:trHeight w:val="1128"/>
        </w:trPr>
        <w:tc>
          <w:tcPr>
            <w:tcW w:w="1984" w:type="dxa"/>
            <w:shd w:val="clear" w:color="auto" w:fill="A6A6A6"/>
          </w:tcPr>
          <w:p w14:paraId="0005F9C3" w14:textId="77777777" w:rsidR="00CD457F" w:rsidRPr="00BE536E" w:rsidRDefault="00CD457F" w:rsidP="00D41B6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004B68E3" w14:textId="77777777" w:rsidR="002024DE" w:rsidRPr="00BE536E" w:rsidRDefault="002024DE" w:rsidP="0004471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w:t>
            </w:r>
            <w:r w:rsidR="000B4521" w:rsidRPr="00BE536E">
              <w:rPr>
                <w:rFonts w:ascii="Verdana" w:eastAsia="Times New Roman" w:hAnsi="Verdana"/>
                <w:bCs/>
                <w:color w:val="000000"/>
                <w:sz w:val="20"/>
                <w:szCs w:val="20"/>
                <w:lang w:eastAsia="ru-RU"/>
              </w:rPr>
              <w:t xml:space="preserve">денежных средств на счетах, в том </w:t>
            </w:r>
            <w:r w:rsidR="000B4521" w:rsidRPr="00BE536E">
              <w:rPr>
                <w:rFonts w:ascii="Verdana" w:eastAsia="Times New Roman" w:hAnsi="Verdana"/>
                <w:bCs/>
                <w:sz w:val="20"/>
                <w:szCs w:val="20"/>
                <w:lang w:eastAsia="ru-RU"/>
              </w:rPr>
              <w:t>числе на транзитных, валютных счетах</w:t>
            </w:r>
            <w:r w:rsidR="000B4521" w:rsidRPr="00BE536E">
              <w:rPr>
                <w:rFonts w:ascii="Verdana" w:eastAsia="Times New Roman" w:hAnsi="Verdana"/>
                <w:bCs/>
                <w:color w:val="000000"/>
                <w:sz w:val="20"/>
                <w:szCs w:val="20"/>
                <w:lang w:eastAsia="ru-RU"/>
              </w:rPr>
              <w:t>, открытых на управляющую компанию Д.У. ПИФ</w:t>
            </w:r>
            <w:r w:rsidR="008652C3"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определяется</w:t>
            </w:r>
            <w:r w:rsidR="006D7B7B" w:rsidRPr="00BE536E">
              <w:rPr>
                <w:rFonts w:ascii="Verdana" w:eastAsia="Times New Roman" w:hAnsi="Verdana"/>
                <w:bCs/>
                <w:color w:val="000000"/>
                <w:sz w:val="20"/>
                <w:szCs w:val="20"/>
                <w:lang w:eastAsia="ru-RU"/>
              </w:rPr>
              <w:t xml:space="preserve"> </w:t>
            </w:r>
            <w:r w:rsidR="00AF476B" w:rsidRPr="00BE536E">
              <w:rPr>
                <w:rFonts w:ascii="Verdana" w:eastAsia="Times New Roman" w:hAnsi="Verdana"/>
                <w:bCs/>
                <w:color w:val="000000"/>
                <w:sz w:val="20"/>
                <w:szCs w:val="20"/>
                <w:lang w:eastAsia="ru-RU"/>
              </w:rPr>
              <w:t xml:space="preserve">в сумме </w:t>
            </w:r>
            <w:r w:rsidRPr="00BE536E">
              <w:rPr>
                <w:rFonts w:ascii="Verdana" w:eastAsia="Times New Roman" w:hAnsi="Verdana"/>
                <w:bCs/>
                <w:color w:val="000000"/>
                <w:sz w:val="20"/>
                <w:szCs w:val="20"/>
                <w:lang w:eastAsia="ru-RU"/>
              </w:rPr>
              <w:t xml:space="preserve">остатка на счетах открытых на управляющую компанию Д.У. </w:t>
            </w:r>
            <w:r w:rsidR="0092715D" w:rsidRPr="00BE536E">
              <w:rPr>
                <w:rFonts w:ascii="Verdana" w:eastAsia="Times New Roman" w:hAnsi="Verdana"/>
                <w:bCs/>
                <w:color w:val="000000"/>
                <w:sz w:val="20"/>
                <w:szCs w:val="20"/>
                <w:lang w:eastAsia="ru-RU"/>
              </w:rPr>
              <w:t>ПИФ</w:t>
            </w:r>
            <w:r w:rsidR="00C12E8A" w:rsidRPr="00BE536E">
              <w:rPr>
                <w:rFonts w:ascii="Verdana" w:eastAsia="Times New Roman" w:hAnsi="Verdana"/>
                <w:bCs/>
                <w:color w:val="000000"/>
                <w:sz w:val="20"/>
                <w:szCs w:val="20"/>
                <w:lang w:eastAsia="ru-RU"/>
              </w:rPr>
              <w:t>.</w:t>
            </w:r>
            <w:r w:rsidR="0092715D" w:rsidRPr="00BE536E">
              <w:rPr>
                <w:rFonts w:ascii="Verdana" w:eastAsia="Times New Roman" w:hAnsi="Verdana"/>
                <w:bCs/>
                <w:color w:val="000000"/>
                <w:sz w:val="20"/>
                <w:szCs w:val="20"/>
                <w:lang w:eastAsia="ru-RU"/>
              </w:rPr>
              <w:t xml:space="preserve"> </w:t>
            </w:r>
          </w:p>
          <w:p w14:paraId="68038509" w14:textId="77777777" w:rsidR="00F368D4" w:rsidRPr="00BE536E" w:rsidRDefault="00F368D4" w:rsidP="00F368D4">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При переводе денежных средств между счетами, в случае возникновения временного лага между датой списанием денежных средств со счета списания и датой зачисления денежных средств на счет зачисления, такая дебиторская задолженность признается операционной </w:t>
            </w:r>
            <w:r w:rsidR="00E93043" w:rsidRPr="00BE536E">
              <w:rPr>
                <w:rFonts w:ascii="Verdana" w:eastAsia="Times New Roman" w:hAnsi="Verdana"/>
                <w:bCs/>
                <w:color w:val="000000"/>
                <w:sz w:val="20"/>
                <w:szCs w:val="20"/>
                <w:lang w:eastAsia="ru-RU"/>
              </w:rPr>
              <w:t>и не корректируется в течение</w:t>
            </w:r>
            <w:r w:rsidRPr="00BE536E">
              <w:rPr>
                <w:rFonts w:ascii="Verdana" w:eastAsia="Times New Roman" w:hAnsi="Verdana"/>
                <w:bCs/>
                <w:color w:val="000000"/>
                <w:sz w:val="20"/>
                <w:szCs w:val="20"/>
                <w:lang w:eastAsia="ru-RU"/>
              </w:rPr>
              <w:t xml:space="preserve"> не более 3-ех рабочих дней с момента ее возникновения. </w:t>
            </w:r>
          </w:p>
          <w:p w14:paraId="6A139715" w14:textId="77777777" w:rsidR="00F368D4" w:rsidRPr="00BE536E" w:rsidRDefault="00F368D4" w:rsidP="0004471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Превышение указанных сроков по независящим от Управляющей компании причинам, </w:t>
            </w:r>
            <w:r w:rsidR="004E127F" w:rsidRPr="00BE536E">
              <w:rPr>
                <w:rFonts w:ascii="Verdana" w:eastAsia="Times New Roman" w:hAnsi="Verdana"/>
                <w:bCs/>
                <w:color w:val="000000"/>
                <w:sz w:val="20"/>
                <w:szCs w:val="20"/>
                <w:lang w:eastAsia="ru-RU"/>
              </w:rPr>
              <w:t>ведет</w:t>
            </w:r>
            <w:r w:rsidRPr="00BE536E">
              <w:rPr>
                <w:rFonts w:ascii="Verdana" w:eastAsia="Times New Roman" w:hAnsi="Verdana"/>
                <w:bCs/>
                <w:color w:val="000000"/>
                <w:sz w:val="20"/>
                <w:szCs w:val="20"/>
                <w:lang w:eastAsia="ru-RU"/>
              </w:rPr>
              <w:t xml:space="preserve"> к необходимости определения справедливой стоимости активов в соответствии с методами корректировки справедливой стоимости </w:t>
            </w:r>
            <w:r w:rsidRPr="00BE536E">
              <w:rPr>
                <w:rFonts w:ascii="Verdana" w:hAnsi="Verdana"/>
                <w:b/>
                <w:bCs/>
                <w:i/>
                <w:color w:val="000000"/>
                <w:sz w:val="20"/>
                <w:szCs w:val="20"/>
              </w:rPr>
              <w:t>(</w:t>
            </w:r>
            <w:hyperlink w:anchor="приложение_6" w:history="1">
              <w:r w:rsidRPr="00BE536E">
                <w:rPr>
                  <w:rStyle w:val="a5"/>
                  <w:rFonts w:ascii="Verdana" w:hAnsi="Verdana"/>
                  <w:b/>
                  <w:i/>
                  <w:sz w:val="20"/>
                  <w:szCs w:val="20"/>
                </w:rPr>
                <w:t xml:space="preserve">Приложение </w:t>
              </w:r>
            </w:hyperlink>
            <w:r w:rsidR="002A2DBC" w:rsidRPr="00BE536E">
              <w:rPr>
                <w:rStyle w:val="a5"/>
                <w:rFonts w:ascii="Verdana" w:hAnsi="Verdana"/>
                <w:b/>
                <w:i/>
                <w:sz w:val="20"/>
                <w:szCs w:val="20"/>
              </w:rPr>
              <w:t>5</w:t>
            </w:r>
            <w:r w:rsidRPr="00BE536E">
              <w:rPr>
                <w:rFonts w:ascii="Verdana" w:hAnsi="Verdana"/>
                <w:b/>
                <w:bCs/>
                <w:i/>
                <w:color w:val="000000"/>
                <w:sz w:val="20"/>
                <w:szCs w:val="20"/>
              </w:rPr>
              <w:t>)</w:t>
            </w:r>
          </w:p>
          <w:p w14:paraId="0C97EC3B" w14:textId="77777777" w:rsidR="00410031" w:rsidRPr="00BE536E" w:rsidRDefault="00410031" w:rsidP="00D41B68">
            <w:pPr>
              <w:spacing w:after="0" w:line="240" w:lineRule="auto"/>
              <w:jc w:val="both"/>
              <w:rPr>
                <w:rFonts w:ascii="Verdana" w:eastAsia="Times New Roman" w:hAnsi="Verdana"/>
                <w:bCs/>
                <w:color w:val="000000"/>
                <w:sz w:val="20"/>
                <w:szCs w:val="20"/>
                <w:lang w:eastAsia="ru-RU"/>
              </w:rPr>
            </w:pPr>
          </w:p>
        </w:tc>
      </w:tr>
    </w:tbl>
    <w:p w14:paraId="4411B52E" w14:textId="77777777" w:rsidR="000A50E5" w:rsidRPr="00BE536E" w:rsidRDefault="000A50E5" w:rsidP="00E614F4">
      <w:pPr>
        <w:spacing w:after="0" w:line="240" w:lineRule="auto"/>
        <w:ind w:left="5245"/>
        <w:jc w:val="both"/>
        <w:rPr>
          <w:rFonts w:ascii="Verdana" w:eastAsia="Times New Roman" w:hAnsi="Verdana"/>
          <w:b/>
          <w:bCs/>
          <w:sz w:val="20"/>
          <w:szCs w:val="20"/>
          <w:lang w:eastAsia="ru-RU"/>
        </w:rPr>
      </w:pPr>
    </w:p>
    <w:p w14:paraId="76607FFF" w14:textId="77777777" w:rsidR="0049273E" w:rsidRPr="00BE536E" w:rsidRDefault="0049273E" w:rsidP="00E614F4">
      <w:pPr>
        <w:spacing w:after="0" w:line="240" w:lineRule="auto"/>
        <w:ind w:left="5245"/>
        <w:jc w:val="both"/>
        <w:rPr>
          <w:rFonts w:ascii="Verdana" w:eastAsia="Times New Roman" w:hAnsi="Verdana"/>
          <w:b/>
          <w:bCs/>
          <w:sz w:val="20"/>
          <w:szCs w:val="20"/>
          <w:lang w:eastAsia="ru-RU"/>
        </w:rPr>
      </w:pPr>
    </w:p>
    <w:p w14:paraId="6F1B551E" w14:textId="77777777" w:rsidR="0049273E" w:rsidRPr="00BE536E" w:rsidRDefault="0049273E" w:rsidP="00E614F4">
      <w:pPr>
        <w:spacing w:after="0" w:line="240" w:lineRule="auto"/>
        <w:ind w:left="5245"/>
        <w:jc w:val="both"/>
        <w:rPr>
          <w:rFonts w:ascii="Verdana" w:eastAsia="Times New Roman" w:hAnsi="Verdana"/>
          <w:b/>
          <w:bCs/>
          <w:sz w:val="20"/>
          <w:szCs w:val="20"/>
          <w:lang w:eastAsia="ru-RU"/>
        </w:rPr>
      </w:pPr>
    </w:p>
    <w:p w14:paraId="069D46EE" w14:textId="77777777" w:rsidR="0049273E" w:rsidRPr="00BE536E" w:rsidRDefault="0049273E" w:rsidP="00E614F4">
      <w:pPr>
        <w:spacing w:after="0" w:line="240" w:lineRule="auto"/>
        <w:ind w:left="5245"/>
        <w:jc w:val="both"/>
        <w:rPr>
          <w:rFonts w:ascii="Verdana" w:eastAsia="Times New Roman" w:hAnsi="Verdana"/>
          <w:b/>
          <w:bCs/>
          <w:sz w:val="20"/>
          <w:szCs w:val="20"/>
          <w:lang w:eastAsia="ru-RU"/>
        </w:rPr>
      </w:pPr>
    </w:p>
    <w:p w14:paraId="5AB6C2A5" w14:textId="77777777" w:rsidR="00D704B3" w:rsidRPr="00BE536E" w:rsidRDefault="00D704B3">
      <w:pPr>
        <w:spacing w:after="0" w:line="240" w:lineRule="auto"/>
        <w:rPr>
          <w:rFonts w:ascii="Verdana" w:eastAsia="Times New Roman" w:hAnsi="Verdana"/>
          <w:b/>
          <w:bCs/>
          <w:color w:val="000000"/>
          <w:lang w:eastAsia="ru-RU"/>
        </w:rPr>
      </w:pPr>
      <w:r w:rsidRPr="00BE536E">
        <w:rPr>
          <w:rFonts w:ascii="Verdana" w:eastAsia="Times New Roman" w:hAnsi="Verdana"/>
          <w:b/>
          <w:bCs/>
          <w:color w:val="000000"/>
          <w:lang w:eastAsia="ru-RU"/>
        </w:rPr>
        <w:br w:type="page"/>
      </w:r>
    </w:p>
    <w:p w14:paraId="305617E6" w14:textId="77777777" w:rsidR="00E614F4"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22" w:name="_Toc27400766"/>
      <w:r w:rsidRPr="00BE536E">
        <w:rPr>
          <w:rFonts w:ascii="Verdana" w:hAnsi="Verdana" w:cs="Arial"/>
          <w:b w:val="0"/>
          <w:bCs w:val="0"/>
          <w:iCs w:val="0"/>
          <w:caps/>
          <w:smallCaps w:val="0"/>
          <w:color w:val="943634"/>
          <w:sz w:val="24"/>
        </w:rPr>
        <w:lastRenderedPageBreak/>
        <w:t xml:space="preserve">Приложение </w:t>
      </w:r>
      <w:r w:rsidR="00951A90" w:rsidRPr="00BE536E">
        <w:rPr>
          <w:rFonts w:ascii="Verdana" w:hAnsi="Verdana" w:cs="Arial"/>
          <w:b w:val="0"/>
          <w:bCs w:val="0"/>
          <w:iCs w:val="0"/>
          <w:caps/>
          <w:smallCaps w:val="0"/>
          <w:color w:val="943634"/>
          <w:sz w:val="24"/>
        </w:rPr>
        <w:t>9</w:t>
      </w:r>
      <w:r w:rsidRPr="00BE536E">
        <w:rPr>
          <w:rFonts w:ascii="Verdana" w:hAnsi="Verdana" w:cs="Arial"/>
          <w:b w:val="0"/>
          <w:bCs w:val="0"/>
          <w:iCs w:val="0"/>
          <w:caps/>
          <w:smallCaps w:val="0"/>
          <w:color w:val="943634"/>
          <w:sz w:val="24"/>
        </w:rPr>
        <w:t xml:space="preserve">. </w:t>
      </w:r>
      <w:bookmarkEnd w:id="22"/>
      <w:r w:rsidR="008E72E5" w:rsidRPr="00BE536E">
        <w:rPr>
          <w:rFonts w:ascii="Verdana" w:hAnsi="Verdana" w:cs="Arial"/>
          <w:bCs w:val="0"/>
          <w:iCs w:val="0"/>
          <w:caps/>
          <w:smallCaps w:val="0"/>
          <w:color w:val="943634"/>
          <w:sz w:val="24"/>
        </w:rPr>
        <w:t>денежные средства во вкладах</w:t>
      </w:r>
    </w:p>
    <w:tbl>
      <w:tblPr>
        <w:tblW w:w="9810" w:type="dxa"/>
        <w:tblInd w:w="-289"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410"/>
        <w:gridCol w:w="7400"/>
      </w:tblGrid>
      <w:tr w:rsidR="00E614F4" w:rsidRPr="00BE536E" w14:paraId="7BB60BE0" w14:textId="77777777" w:rsidTr="00280039">
        <w:trPr>
          <w:trHeight w:val="601"/>
        </w:trPr>
        <w:tc>
          <w:tcPr>
            <w:tcW w:w="2410" w:type="dxa"/>
            <w:shd w:val="clear" w:color="auto" w:fill="A6A6A6"/>
          </w:tcPr>
          <w:p w14:paraId="71DF91DE" w14:textId="77777777" w:rsidR="00E614F4" w:rsidRPr="00BE536E" w:rsidRDefault="00E614F4" w:rsidP="00066BA3">
            <w:pPr>
              <w:jc w:val="both"/>
              <w:rPr>
                <w:rFonts w:ascii="Verdana" w:hAnsi="Verdana"/>
                <w:i/>
                <w:sz w:val="20"/>
                <w:szCs w:val="20"/>
              </w:rPr>
            </w:pPr>
            <w:r w:rsidRPr="00BE536E">
              <w:rPr>
                <w:rFonts w:ascii="Verdana" w:hAnsi="Verdana"/>
                <w:i/>
                <w:sz w:val="20"/>
                <w:szCs w:val="20"/>
              </w:rPr>
              <w:t>Виды активов</w:t>
            </w:r>
          </w:p>
        </w:tc>
        <w:tc>
          <w:tcPr>
            <w:tcW w:w="7400" w:type="dxa"/>
          </w:tcPr>
          <w:p w14:paraId="28EBDE25" w14:textId="77777777" w:rsidR="00E614F4" w:rsidRPr="00BE536E" w:rsidRDefault="00063672" w:rsidP="00437988">
            <w:pPr>
              <w:spacing w:after="0" w:line="240" w:lineRule="auto"/>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Денежные средства на счетах </w:t>
            </w:r>
            <w:r w:rsidR="00437988" w:rsidRPr="00BE536E">
              <w:rPr>
                <w:rFonts w:ascii="Verdana" w:eastAsia="Times New Roman" w:hAnsi="Verdana"/>
                <w:bCs/>
                <w:color w:val="000000"/>
                <w:sz w:val="20"/>
                <w:szCs w:val="20"/>
                <w:lang w:eastAsia="ru-RU"/>
              </w:rPr>
              <w:t>во вкладах</w:t>
            </w:r>
            <w:r w:rsidRPr="00BE536E">
              <w:rPr>
                <w:rFonts w:ascii="Verdana" w:eastAsia="Times New Roman" w:hAnsi="Verdana"/>
                <w:bCs/>
                <w:color w:val="000000"/>
                <w:sz w:val="20"/>
                <w:szCs w:val="20"/>
                <w:lang w:eastAsia="ru-RU"/>
              </w:rPr>
              <w:t xml:space="preserve"> в кредитных организациях (далее </w:t>
            </w:r>
            <w:r w:rsidR="0089158F" w:rsidRPr="00BE536E">
              <w:rPr>
                <w:rFonts w:ascii="Verdana" w:eastAsia="Times New Roman" w:hAnsi="Verdana"/>
                <w:bCs/>
                <w:color w:val="000000"/>
                <w:sz w:val="20"/>
                <w:szCs w:val="20"/>
                <w:lang w:eastAsia="ru-RU"/>
              </w:rPr>
              <w:t>–</w:t>
            </w:r>
            <w:r w:rsidRPr="00BE536E">
              <w:rPr>
                <w:rFonts w:ascii="Verdana" w:eastAsia="Times New Roman" w:hAnsi="Verdana"/>
                <w:bCs/>
                <w:color w:val="000000"/>
                <w:sz w:val="20"/>
                <w:szCs w:val="20"/>
                <w:lang w:eastAsia="ru-RU"/>
              </w:rPr>
              <w:t xml:space="preserve"> </w:t>
            </w:r>
            <w:r w:rsidR="0089158F" w:rsidRPr="00BE536E">
              <w:rPr>
                <w:rFonts w:ascii="Verdana" w:eastAsia="Times New Roman" w:hAnsi="Verdana"/>
                <w:bCs/>
                <w:color w:val="000000"/>
                <w:sz w:val="20"/>
                <w:szCs w:val="20"/>
                <w:lang w:eastAsia="ru-RU"/>
              </w:rPr>
              <w:t>депозиты</w:t>
            </w:r>
            <w:r w:rsidRPr="00BE536E">
              <w:rPr>
                <w:rFonts w:ascii="Verdana" w:eastAsia="Times New Roman" w:hAnsi="Verdana"/>
                <w:bCs/>
                <w:color w:val="000000"/>
                <w:sz w:val="20"/>
                <w:szCs w:val="20"/>
                <w:lang w:eastAsia="ru-RU"/>
              </w:rPr>
              <w:t>)</w:t>
            </w:r>
          </w:p>
        </w:tc>
      </w:tr>
      <w:tr w:rsidR="00E614F4" w:rsidRPr="00BE536E" w14:paraId="3D110B36" w14:textId="77777777" w:rsidTr="00280039">
        <w:trPr>
          <w:trHeight w:val="1120"/>
        </w:trPr>
        <w:tc>
          <w:tcPr>
            <w:tcW w:w="2410" w:type="dxa"/>
            <w:shd w:val="clear" w:color="auto" w:fill="A6A6A6"/>
          </w:tcPr>
          <w:p w14:paraId="11F299CC" w14:textId="77777777" w:rsidR="00E614F4" w:rsidRPr="00BE536E" w:rsidRDefault="00E614F4" w:rsidP="00237C26">
            <w:pPr>
              <w:rPr>
                <w:rFonts w:ascii="Verdana" w:hAnsi="Verdana"/>
                <w:i/>
                <w:sz w:val="20"/>
                <w:szCs w:val="20"/>
              </w:rPr>
            </w:pPr>
            <w:r w:rsidRPr="00BE536E">
              <w:rPr>
                <w:rFonts w:ascii="Verdana" w:hAnsi="Verdana"/>
                <w:i/>
                <w:sz w:val="20"/>
                <w:szCs w:val="20"/>
              </w:rPr>
              <w:t>Критерии признания</w:t>
            </w:r>
          </w:p>
        </w:tc>
        <w:tc>
          <w:tcPr>
            <w:tcW w:w="7400" w:type="dxa"/>
          </w:tcPr>
          <w:p w14:paraId="2302DFAF" w14:textId="77777777" w:rsidR="008652C3" w:rsidRPr="00BE536E" w:rsidRDefault="00E614F4" w:rsidP="00261437">
            <w:pPr>
              <w:numPr>
                <w:ilvl w:val="0"/>
                <w:numId w:val="1"/>
              </w:numPr>
              <w:spacing w:after="0" w:line="240" w:lineRule="auto"/>
              <w:ind w:left="317" w:hanging="317"/>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зачисления денежных средств на соответствующий </w:t>
            </w:r>
            <w:r w:rsidR="008652C3" w:rsidRPr="00BE536E">
              <w:rPr>
                <w:rFonts w:ascii="Verdana" w:eastAsia="Times New Roman" w:hAnsi="Verdana"/>
                <w:bCs/>
                <w:color w:val="000000"/>
                <w:sz w:val="20"/>
                <w:szCs w:val="20"/>
                <w:lang w:eastAsia="ru-RU"/>
              </w:rPr>
              <w:t>депозитный</w:t>
            </w:r>
            <w:r w:rsidRPr="00BE536E">
              <w:rPr>
                <w:rFonts w:ascii="Verdana" w:eastAsia="Times New Roman" w:hAnsi="Verdana"/>
                <w:bCs/>
                <w:color w:val="000000"/>
                <w:sz w:val="20"/>
                <w:szCs w:val="20"/>
                <w:lang w:eastAsia="ru-RU"/>
              </w:rPr>
              <w:t xml:space="preserve"> счет на основании выписки с указанного счета;</w:t>
            </w:r>
          </w:p>
          <w:p w14:paraId="404BF55F" w14:textId="77777777" w:rsidR="00E614F4" w:rsidRPr="00BE536E" w:rsidRDefault="00E614F4" w:rsidP="0089158F">
            <w:pPr>
              <w:numPr>
                <w:ilvl w:val="0"/>
                <w:numId w:val="1"/>
              </w:numPr>
              <w:spacing w:after="0" w:line="240" w:lineRule="auto"/>
              <w:ind w:left="317" w:hanging="317"/>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переуступки права требования о выплате </w:t>
            </w:r>
            <w:r w:rsidR="0089158F" w:rsidRPr="00BE536E">
              <w:rPr>
                <w:rFonts w:ascii="Verdana" w:eastAsia="Times New Roman" w:hAnsi="Verdana"/>
                <w:bCs/>
                <w:color w:val="000000"/>
                <w:sz w:val="20"/>
                <w:szCs w:val="20"/>
                <w:lang w:eastAsia="ru-RU"/>
              </w:rPr>
              <w:t xml:space="preserve">депозита </w:t>
            </w:r>
            <w:r w:rsidRPr="00BE536E">
              <w:rPr>
                <w:rFonts w:ascii="Verdana" w:eastAsia="Times New Roman" w:hAnsi="Verdana"/>
                <w:bCs/>
                <w:color w:val="000000"/>
                <w:sz w:val="20"/>
                <w:szCs w:val="20"/>
                <w:lang w:eastAsia="ru-RU"/>
              </w:rPr>
              <w:t>и начисленных процент</w:t>
            </w:r>
            <w:r w:rsidR="00C12E8A" w:rsidRPr="00BE536E">
              <w:rPr>
                <w:rFonts w:ascii="Verdana" w:eastAsia="Times New Roman" w:hAnsi="Verdana"/>
                <w:bCs/>
                <w:color w:val="000000"/>
                <w:sz w:val="20"/>
                <w:szCs w:val="20"/>
                <w:lang w:eastAsia="ru-RU"/>
              </w:rPr>
              <w:t>ах</w:t>
            </w:r>
            <w:r w:rsidRPr="00BE536E">
              <w:rPr>
                <w:rFonts w:ascii="Verdana" w:eastAsia="Times New Roman" w:hAnsi="Verdana"/>
                <w:bCs/>
                <w:color w:val="000000"/>
                <w:sz w:val="20"/>
                <w:szCs w:val="20"/>
                <w:lang w:eastAsia="ru-RU"/>
              </w:rPr>
              <w:t xml:space="preserve"> на основании договора.</w:t>
            </w:r>
          </w:p>
        </w:tc>
      </w:tr>
      <w:tr w:rsidR="00E614F4" w:rsidRPr="00BE536E" w14:paraId="39A0703F" w14:textId="77777777" w:rsidTr="00280039">
        <w:trPr>
          <w:trHeight w:val="2261"/>
        </w:trPr>
        <w:tc>
          <w:tcPr>
            <w:tcW w:w="2410" w:type="dxa"/>
            <w:shd w:val="clear" w:color="auto" w:fill="A6A6A6"/>
          </w:tcPr>
          <w:p w14:paraId="51E7FE51" w14:textId="77777777" w:rsidR="00E614F4" w:rsidRPr="00BE536E" w:rsidRDefault="00E614F4" w:rsidP="00237C26">
            <w:pPr>
              <w:rPr>
                <w:rFonts w:ascii="Verdana" w:hAnsi="Verdana"/>
                <w:bCs/>
                <w:i/>
                <w:sz w:val="20"/>
                <w:szCs w:val="20"/>
              </w:rPr>
            </w:pPr>
            <w:r w:rsidRPr="00BE536E">
              <w:rPr>
                <w:rFonts w:ascii="Verdana" w:hAnsi="Verdana"/>
                <w:i/>
                <w:sz w:val="20"/>
                <w:szCs w:val="20"/>
              </w:rPr>
              <w:t>Критерии прекращения признания</w:t>
            </w:r>
          </w:p>
        </w:tc>
        <w:tc>
          <w:tcPr>
            <w:tcW w:w="7400" w:type="dxa"/>
          </w:tcPr>
          <w:p w14:paraId="4C145240" w14:textId="77777777" w:rsidR="00E614F4" w:rsidRPr="00BE536E" w:rsidRDefault="00E614F4" w:rsidP="00D41B68">
            <w:p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Дата исполнения кредитной организацией обязательств по возврату </w:t>
            </w:r>
            <w:r w:rsidR="0089158F" w:rsidRPr="00BE536E">
              <w:rPr>
                <w:rFonts w:ascii="Verdana" w:eastAsia="Times New Roman" w:hAnsi="Verdana"/>
                <w:bCs/>
                <w:color w:val="000000"/>
                <w:sz w:val="20"/>
                <w:szCs w:val="20"/>
                <w:lang w:eastAsia="ru-RU"/>
              </w:rPr>
              <w:t>депозита на счет ПИФ</w:t>
            </w:r>
            <w:r w:rsidRPr="00BE536E">
              <w:rPr>
                <w:rFonts w:ascii="Verdana" w:eastAsia="Times New Roman" w:hAnsi="Verdana"/>
                <w:bCs/>
                <w:color w:val="000000"/>
                <w:sz w:val="20"/>
                <w:szCs w:val="20"/>
                <w:lang w:eastAsia="ru-RU"/>
              </w:rPr>
              <w:t>;</w:t>
            </w:r>
          </w:p>
          <w:p w14:paraId="42A43F83" w14:textId="77777777" w:rsidR="00C12E8A" w:rsidRPr="00BE536E" w:rsidRDefault="00E614F4" w:rsidP="00E00D44">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переуступки права требования о выплате </w:t>
            </w:r>
            <w:r w:rsidR="006B71BB" w:rsidRPr="00BE536E">
              <w:rPr>
                <w:rFonts w:ascii="Verdana" w:eastAsia="Times New Roman" w:hAnsi="Verdana"/>
                <w:bCs/>
                <w:color w:val="000000"/>
                <w:sz w:val="20"/>
                <w:szCs w:val="20"/>
                <w:lang w:eastAsia="ru-RU"/>
              </w:rPr>
              <w:t xml:space="preserve">депозита </w:t>
            </w:r>
            <w:r w:rsidRPr="00BE536E">
              <w:rPr>
                <w:rFonts w:ascii="Verdana" w:eastAsia="Times New Roman" w:hAnsi="Verdana"/>
                <w:bCs/>
                <w:color w:val="000000"/>
                <w:sz w:val="20"/>
                <w:szCs w:val="20"/>
                <w:lang w:eastAsia="ru-RU"/>
              </w:rPr>
              <w:t>и начисленных проц</w:t>
            </w:r>
            <w:r w:rsidR="008652C3" w:rsidRPr="00BE536E">
              <w:rPr>
                <w:rFonts w:ascii="Verdana" w:eastAsia="Times New Roman" w:hAnsi="Verdana"/>
                <w:bCs/>
                <w:color w:val="000000"/>
                <w:sz w:val="20"/>
                <w:szCs w:val="20"/>
                <w:lang w:eastAsia="ru-RU"/>
              </w:rPr>
              <w:t>ент</w:t>
            </w:r>
            <w:r w:rsidR="004E127F" w:rsidRPr="00BE536E">
              <w:rPr>
                <w:rFonts w:ascii="Verdana" w:eastAsia="Times New Roman" w:hAnsi="Verdana"/>
                <w:bCs/>
                <w:color w:val="000000"/>
                <w:sz w:val="20"/>
                <w:szCs w:val="20"/>
                <w:lang w:eastAsia="ru-RU"/>
              </w:rPr>
              <w:t>ов</w:t>
            </w:r>
            <w:r w:rsidR="008652C3" w:rsidRPr="00BE536E">
              <w:rPr>
                <w:rFonts w:ascii="Verdana" w:eastAsia="Times New Roman" w:hAnsi="Verdana"/>
                <w:bCs/>
                <w:color w:val="000000"/>
                <w:sz w:val="20"/>
                <w:szCs w:val="20"/>
                <w:lang w:eastAsia="ru-RU"/>
              </w:rPr>
              <w:t xml:space="preserve"> на основании договора;</w:t>
            </w:r>
          </w:p>
          <w:p w14:paraId="32254B66" w14:textId="77777777" w:rsidR="00C12E8A" w:rsidRPr="00BE536E" w:rsidRDefault="00C12E8A" w:rsidP="00E00D44">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решения Банка России об отзыве лицензии банка (</w:t>
            </w:r>
            <w:r w:rsidR="006B71BB" w:rsidRPr="00BE536E">
              <w:rPr>
                <w:rFonts w:ascii="Verdana" w:eastAsia="Times New Roman" w:hAnsi="Verdana"/>
                <w:bCs/>
                <w:color w:val="000000"/>
                <w:sz w:val="20"/>
                <w:szCs w:val="20"/>
                <w:lang w:eastAsia="ru-RU"/>
              </w:rPr>
              <w:t>депозиты</w:t>
            </w:r>
            <w:r w:rsidR="001902BE"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переходят в статус дебиторской задолженности);</w:t>
            </w:r>
          </w:p>
          <w:p w14:paraId="5BCA547B" w14:textId="77777777" w:rsidR="00C12E8A" w:rsidRPr="00BE536E" w:rsidRDefault="00C12E8A" w:rsidP="00E00D44">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p w14:paraId="7C17D702" w14:textId="77777777" w:rsidR="00E614F4" w:rsidRPr="00BE536E" w:rsidRDefault="00E614F4" w:rsidP="00E00D44">
            <w:pPr>
              <w:spacing w:after="0" w:line="240" w:lineRule="auto"/>
              <w:jc w:val="both"/>
              <w:rPr>
                <w:rFonts w:ascii="Verdana" w:eastAsia="Times New Roman" w:hAnsi="Verdana"/>
                <w:bCs/>
                <w:color w:val="000000"/>
                <w:sz w:val="20"/>
                <w:szCs w:val="20"/>
                <w:lang w:eastAsia="ru-RU"/>
              </w:rPr>
            </w:pPr>
          </w:p>
        </w:tc>
      </w:tr>
      <w:tr w:rsidR="00E614F4" w:rsidRPr="00BE536E" w14:paraId="26CA1E89" w14:textId="77777777" w:rsidTr="00280039">
        <w:trPr>
          <w:trHeight w:val="6618"/>
        </w:trPr>
        <w:tc>
          <w:tcPr>
            <w:tcW w:w="2410" w:type="dxa"/>
            <w:shd w:val="clear" w:color="auto" w:fill="A6A6A6"/>
          </w:tcPr>
          <w:p w14:paraId="5AFEF8ED" w14:textId="77777777" w:rsidR="00E614F4" w:rsidRPr="00BE536E" w:rsidRDefault="00E614F4" w:rsidP="00237C26">
            <w:pPr>
              <w:rPr>
                <w:rFonts w:ascii="Verdana" w:hAnsi="Verdana"/>
                <w:bCs/>
                <w:i/>
                <w:sz w:val="20"/>
                <w:szCs w:val="20"/>
              </w:rPr>
            </w:pPr>
            <w:r w:rsidRPr="00BE536E">
              <w:rPr>
                <w:rFonts w:ascii="Verdana" w:hAnsi="Verdana"/>
                <w:i/>
                <w:sz w:val="20"/>
                <w:szCs w:val="20"/>
              </w:rPr>
              <w:t>Справедливая стоимость</w:t>
            </w:r>
          </w:p>
        </w:tc>
        <w:tc>
          <w:tcPr>
            <w:tcW w:w="7400" w:type="dxa"/>
          </w:tcPr>
          <w:p w14:paraId="02A0865A" w14:textId="77777777" w:rsidR="00E614F4" w:rsidRPr="00BE536E" w:rsidRDefault="00E614F4" w:rsidP="00D41B68">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w:t>
            </w:r>
            <w:r w:rsidR="006B71BB" w:rsidRPr="00BE536E">
              <w:rPr>
                <w:rFonts w:ascii="Verdana" w:eastAsia="Times New Roman" w:hAnsi="Verdana"/>
                <w:bCs/>
                <w:color w:val="000000"/>
                <w:sz w:val="20"/>
                <w:szCs w:val="20"/>
                <w:lang w:eastAsia="ru-RU"/>
              </w:rPr>
              <w:t>депозитов</w:t>
            </w:r>
            <w:r w:rsidR="00AB7334" w:rsidRPr="00BE536E">
              <w:rPr>
                <w:rFonts w:ascii="Verdana" w:eastAsia="Times New Roman" w:hAnsi="Verdana"/>
                <w:bCs/>
                <w:color w:val="000000"/>
                <w:sz w:val="20"/>
                <w:szCs w:val="20"/>
                <w:lang w:eastAsia="ru-RU"/>
              </w:rPr>
              <w:t xml:space="preserve"> </w:t>
            </w:r>
            <w:r w:rsidR="00AB7334" w:rsidRPr="00BE536E">
              <w:rPr>
                <w:rFonts w:ascii="Verdana" w:hAnsi="Verdana"/>
                <w:sz w:val="20"/>
                <w:szCs w:val="20"/>
              </w:rPr>
              <w:t>в течение максимального срока, предусмотренного договором,</w:t>
            </w:r>
            <w:r w:rsidR="008652C3"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определяется:</w:t>
            </w:r>
          </w:p>
          <w:p w14:paraId="634ECD89" w14:textId="77777777" w:rsidR="00E614F4" w:rsidRPr="00BE536E" w:rsidRDefault="00E614F4" w:rsidP="0026143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сумме остатка </w:t>
            </w:r>
            <w:r w:rsidR="006B71BB" w:rsidRPr="00BE536E">
              <w:rPr>
                <w:rFonts w:ascii="Verdana" w:eastAsia="Times New Roman" w:hAnsi="Verdana"/>
                <w:bCs/>
                <w:color w:val="000000"/>
                <w:sz w:val="20"/>
                <w:szCs w:val="20"/>
                <w:lang w:eastAsia="ru-RU"/>
              </w:rPr>
              <w:t>депозита</w:t>
            </w:r>
            <w:r w:rsidRPr="00BE536E">
              <w:rPr>
                <w:rFonts w:ascii="Verdana" w:eastAsia="Times New Roman" w:hAnsi="Verdana"/>
                <w:bCs/>
                <w:color w:val="000000"/>
                <w:sz w:val="20"/>
                <w:szCs w:val="20"/>
                <w:lang w:eastAsia="ru-RU"/>
              </w:rPr>
              <w:t>, увеличенно</w:t>
            </w:r>
            <w:r w:rsidR="008D1BCB" w:rsidRPr="00BE536E">
              <w:rPr>
                <w:rFonts w:ascii="Verdana" w:eastAsia="Times New Roman" w:hAnsi="Verdana"/>
                <w:bCs/>
                <w:color w:val="000000"/>
                <w:sz w:val="20"/>
                <w:szCs w:val="20"/>
                <w:lang w:eastAsia="ru-RU"/>
              </w:rPr>
              <w:t>й</w:t>
            </w:r>
            <w:r w:rsidRPr="00BE536E">
              <w:rPr>
                <w:rFonts w:ascii="Verdana" w:eastAsia="Times New Roman" w:hAnsi="Verdana"/>
                <w:bCs/>
                <w:color w:val="000000"/>
                <w:sz w:val="20"/>
                <w:szCs w:val="20"/>
                <w:lang w:eastAsia="ru-RU"/>
              </w:rPr>
              <w:t xml:space="preserve"> на сумму процентов, рассчитанных на дату определения СЧА по ставке, предусмотренной договором,</w:t>
            </w:r>
            <w:r w:rsidR="006A1611" w:rsidRPr="00BE536E">
              <w:rPr>
                <w:rFonts w:ascii="Verdana" w:eastAsia="Times New Roman" w:hAnsi="Verdana"/>
                <w:bCs/>
                <w:color w:val="000000"/>
                <w:sz w:val="20"/>
                <w:szCs w:val="20"/>
                <w:lang w:eastAsia="ru-RU"/>
              </w:rPr>
              <w:t xml:space="preserve"> </w:t>
            </w:r>
            <w:r w:rsidRPr="00BE536E">
              <w:rPr>
                <w:rFonts w:ascii="Verdana" w:eastAsia="Times New Roman" w:hAnsi="Verdana"/>
                <w:b/>
                <w:bCs/>
                <w:sz w:val="20"/>
                <w:szCs w:val="20"/>
                <w:lang w:eastAsia="ru-RU"/>
              </w:rPr>
              <w:t xml:space="preserve">если срок погашения </w:t>
            </w:r>
            <w:r w:rsidR="006B71BB" w:rsidRPr="00BE536E">
              <w:rPr>
                <w:rFonts w:ascii="Verdana" w:eastAsia="Times New Roman" w:hAnsi="Verdana"/>
                <w:b/>
                <w:bCs/>
                <w:sz w:val="20"/>
                <w:szCs w:val="20"/>
                <w:lang w:eastAsia="ru-RU"/>
              </w:rPr>
              <w:t xml:space="preserve">депозита - </w:t>
            </w:r>
            <w:r w:rsidRPr="00BE536E">
              <w:rPr>
                <w:rFonts w:ascii="Verdana" w:eastAsia="Times New Roman" w:hAnsi="Verdana"/>
                <w:b/>
                <w:bCs/>
                <w:sz w:val="20"/>
                <w:szCs w:val="20"/>
                <w:lang w:eastAsia="ru-RU"/>
              </w:rPr>
              <w:t>«до востребования»</w:t>
            </w:r>
            <w:r w:rsidRPr="00BE536E">
              <w:rPr>
                <w:rFonts w:ascii="Verdana" w:eastAsia="Times New Roman" w:hAnsi="Verdana"/>
                <w:bCs/>
                <w:color w:val="000000"/>
                <w:sz w:val="20"/>
                <w:szCs w:val="20"/>
                <w:lang w:eastAsia="ru-RU"/>
              </w:rPr>
              <w:t>;</w:t>
            </w:r>
          </w:p>
          <w:p w14:paraId="612FEC5E" w14:textId="77777777" w:rsidR="00E614F4" w:rsidRPr="00BE536E" w:rsidRDefault="00E614F4" w:rsidP="0026143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сумме </w:t>
            </w:r>
            <w:r w:rsidR="006B71BB" w:rsidRPr="00BE536E">
              <w:rPr>
                <w:rFonts w:ascii="Verdana" w:eastAsia="Times New Roman" w:hAnsi="Verdana"/>
                <w:bCs/>
                <w:color w:val="000000"/>
                <w:sz w:val="20"/>
                <w:szCs w:val="20"/>
                <w:lang w:eastAsia="ru-RU"/>
              </w:rPr>
              <w:t>депозита</w:t>
            </w:r>
            <w:r w:rsidRPr="00BE536E">
              <w:rPr>
                <w:rFonts w:ascii="Verdana" w:eastAsia="Times New Roman" w:hAnsi="Verdana"/>
                <w:bCs/>
                <w:color w:val="000000"/>
                <w:sz w:val="20"/>
                <w:szCs w:val="20"/>
                <w:lang w:eastAsia="ru-RU"/>
              </w:rPr>
              <w:t>, увеличенно</w:t>
            </w:r>
            <w:r w:rsidR="008D1BCB" w:rsidRPr="00BE536E">
              <w:rPr>
                <w:rFonts w:ascii="Verdana" w:eastAsia="Times New Roman" w:hAnsi="Verdana"/>
                <w:bCs/>
                <w:color w:val="000000"/>
                <w:sz w:val="20"/>
                <w:szCs w:val="20"/>
                <w:lang w:eastAsia="ru-RU"/>
              </w:rPr>
              <w:t>й</w:t>
            </w:r>
            <w:r w:rsidRPr="00BE536E">
              <w:rPr>
                <w:rFonts w:ascii="Verdana" w:eastAsia="Times New Roman" w:hAnsi="Verdana"/>
                <w:bCs/>
                <w:color w:val="000000"/>
                <w:sz w:val="20"/>
                <w:szCs w:val="20"/>
                <w:lang w:eastAsia="ru-RU"/>
              </w:rPr>
              <w:t xml:space="preserve"> на сумму процентов, рассчитанных на дату определения  СЧА по ставке, предусмотренной договором в течение максимального срока, предусмотренного договором</w:t>
            </w:r>
            <w:r w:rsidRPr="00BE536E">
              <w:rPr>
                <w:rFonts w:ascii="Verdana" w:eastAsia="Times New Roman" w:hAnsi="Verdana"/>
                <w:b/>
                <w:bCs/>
                <w:sz w:val="20"/>
                <w:szCs w:val="20"/>
                <w:lang w:eastAsia="ru-RU"/>
              </w:rPr>
              <w:t xml:space="preserve">, если срок </w:t>
            </w:r>
            <w:r w:rsidR="006B71BB" w:rsidRPr="00BE536E">
              <w:rPr>
                <w:rFonts w:ascii="Verdana" w:eastAsia="Times New Roman" w:hAnsi="Verdana"/>
                <w:b/>
                <w:bCs/>
                <w:sz w:val="20"/>
                <w:szCs w:val="20"/>
                <w:lang w:eastAsia="ru-RU"/>
              </w:rPr>
              <w:t>возврата депозита -</w:t>
            </w:r>
            <w:r w:rsidR="00470876" w:rsidRPr="00BE536E">
              <w:rPr>
                <w:rFonts w:ascii="Verdana" w:eastAsia="Times New Roman" w:hAnsi="Verdana"/>
                <w:b/>
                <w:bCs/>
                <w:sz w:val="20"/>
                <w:szCs w:val="20"/>
                <w:lang w:eastAsia="ru-RU"/>
              </w:rPr>
              <w:t xml:space="preserve"> </w:t>
            </w:r>
            <w:r w:rsidRPr="00BE536E">
              <w:rPr>
                <w:rFonts w:ascii="Verdana" w:eastAsia="Times New Roman" w:hAnsi="Verdana"/>
                <w:b/>
                <w:bCs/>
                <w:sz w:val="20"/>
                <w:szCs w:val="20"/>
                <w:lang w:eastAsia="ru-RU"/>
              </w:rPr>
              <w:t xml:space="preserve">не более 1 </w:t>
            </w:r>
            <w:r w:rsidR="005252CF" w:rsidRPr="00BE536E">
              <w:rPr>
                <w:rFonts w:ascii="Verdana" w:eastAsia="Times New Roman" w:hAnsi="Verdana"/>
                <w:b/>
                <w:bCs/>
                <w:sz w:val="20"/>
                <w:szCs w:val="20"/>
                <w:lang w:eastAsia="ru-RU"/>
              </w:rPr>
              <w:t>(</w:t>
            </w:r>
            <w:r w:rsidR="006B71BB" w:rsidRPr="00BE536E">
              <w:rPr>
                <w:rFonts w:ascii="Verdana" w:eastAsia="Times New Roman" w:hAnsi="Verdana"/>
                <w:b/>
                <w:bCs/>
                <w:sz w:val="20"/>
                <w:szCs w:val="20"/>
                <w:lang w:eastAsia="ru-RU"/>
              </w:rPr>
              <w:t>Одного</w:t>
            </w:r>
            <w:r w:rsidR="005252CF" w:rsidRPr="00BE536E">
              <w:rPr>
                <w:rFonts w:ascii="Verdana" w:eastAsia="Times New Roman" w:hAnsi="Verdana"/>
                <w:b/>
                <w:bCs/>
                <w:sz w:val="20"/>
                <w:szCs w:val="20"/>
                <w:lang w:eastAsia="ru-RU"/>
              </w:rPr>
              <w:t xml:space="preserve">) </w:t>
            </w:r>
            <w:r w:rsidRPr="00BE536E">
              <w:rPr>
                <w:rFonts w:ascii="Verdana" w:eastAsia="Times New Roman" w:hAnsi="Verdana"/>
                <w:b/>
                <w:bCs/>
                <w:sz w:val="20"/>
                <w:szCs w:val="20"/>
                <w:lang w:eastAsia="ru-RU"/>
              </w:rPr>
              <w:t>года и ставка по договору соответствует рыночной</w:t>
            </w:r>
            <w:r w:rsidR="00490D6C" w:rsidRPr="00BE536E">
              <w:rPr>
                <w:rFonts w:ascii="Verdana" w:eastAsia="Times New Roman" w:hAnsi="Verdana"/>
                <w:b/>
                <w:bCs/>
                <w:sz w:val="20"/>
                <w:szCs w:val="20"/>
                <w:lang w:eastAsia="ru-RU"/>
              </w:rPr>
              <w:t xml:space="preserve"> </w:t>
            </w:r>
            <w:r w:rsidR="00490D6C" w:rsidRPr="00BE536E">
              <w:rPr>
                <w:rFonts w:ascii="Verdana" w:eastAsia="Times New Roman" w:hAnsi="Verdana"/>
                <w:bCs/>
                <w:sz w:val="20"/>
                <w:szCs w:val="20"/>
                <w:lang w:eastAsia="ru-RU"/>
              </w:rPr>
              <w:t>на дату определения СЧА</w:t>
            </w:r>
            <w:r w:rsidR="008D3F03" w:rsidRPr="00BE536E">
              <w:rPr>
                <w:rFonts w:ascii="Verdana" w:eastAsia="Times New Roman" w:hAnsi="Verdana"/>
                <w:bCs/>
                <w:sz w:val="20"/>
                <w:szCs w:val="20"/>
                <w:lang w:eastAsia="ru-RU"/>
              </w:rPr>
              <w:t>. Ставка по договору соответствует рыночной, если она попадает в диапазон</w:t>
            </w:r>
            <w:r w:rsidR="008E72E5" w:rsidRPr="00BE536E">
              <w:rPr>
                <w:rFonts w:ascii="Verdana" w:eastAsia="Times New Roman" w:hAnsi="Verdana"/>
                <w:bCs/>
                <w:sz w:val="20"/>
                <w:szCs w:val="20"/>
                <w:lang w:eastAsia="ru-RU"/>
              </w:rPr>
              <w:t>а колебаний рыночной ставки</w:t>
            </w:r>
            <w:r w:rsidR="008D3F03" w:rsidRPr="00BE536E">
              <w:rPr>
                <w:rFonts w:ascii="Verdana" w:eastAsia="Times New Roman" w:hAnsi="Verdana"/>
                <w:bCs/>
                <w:sz w:val="20"/>
                <w:szCs w:val="20"/>
                <w:lang w:eastAsia="ru-RU"/>
              </w:rPr>
              <w:t xml:space="preserve">. Порядок определения рыночной ставки и диапазона волатильности рыночных ставок установлен в </w:t>
            </w:r>
            <w:hyperlink w:anchor="приложение_5" w:history="1">
              <w:r w:rsidR="008D3F03" w:rsidRPr="00BE536E">
                <w:rPr>
                  <w:rStyle w:val="a5"/>
                  <w:rFonts w:ascii="Verdana" w:eastAsia="Times New Roman" w:hAnsi="Verdana"/>
                  <w:bCs/>
                  <w:sz w:val="20"/>
                  <w:szCs w:val="20"/>
                  <w:lang w:eastAsia="ru-RU"/>
                </w:rPr>
                <w:t xml:space="preserve">Приложении </w:t>
              </w:r>
              <w:r w:rsidR="002A2DBC" w:rsidRPr="00BE536E">
                <w:rPr>
                  <w:rStyle w:val="a5"/>
                  <w:rFonts w:ascii="Verdana" w:eastAsia="Times New Roman" w:hAnsi="Verdana"/>
                  <w:bCs/>
                  <w:sz w:val="20"/>
                  <w:szCs w:val="20"/>
                  <w:lang w:eastAsia="ru-RU"/>
                </w:rPr>
                <w:t>4</w:t>
              </w:r>
            </w:hyperlink>
            <w:r w:rsidR="008D3F03" w:rsidRPr="00BE536E">
              <w:rPr>
                <w:rFonts w:ascii="Verdana" w:hAnsi="Verdana"/>
              </w:rPr>
              <w:t>.</w:t>
            </w:r>
          </w:p>
          <w:p w14:paraId="068BBCB3" w14:textId="77777777" w:rsidR="00331122" w:rsidRPr="00BE536E" w:rsidRDefault="00E614F4" w:rsidP="00807AFF">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сумме</w:t>
            </w:r>
            <w:r w:rsidR="00622B62" w:rsidRPr="00BE536E">
              <w:rPr>
                <w:rFonts w:ascii="Verdana" w:eastAsia="Times New Roman" w:hAnsi="Verdana"/>
                <w:bCs/>
                <w:color w:val="000000"/>
                <w:sz w:val="20"/>
                <w:szCs w:val="20"/>
                <w:lang w:eastAsia="ru-RU"/>
              </w:rPr>
              <w:t>,</w:t>
            </w:r>
            <w:r w:rsidR="00A40EC9" w:rsidRPr="00BE536E">
              <w:rPr>
                <w:rFonts w:ascii="Verdana" w:eastAsia="Times New Roman" w:hAnsi="Verdana"/>
                <w:bCs/>
                <w:color w:val="000000"/>
                <w:sz w:val="20"/>
                <w:szCs w:val="20"/>
                <w:lang w:eastAsia="ru-RU"/>
              </w:rPr>
              <w:t xml:space="preserve"> </w:t>
            </w:r>
            <w:r w:rsidRPr="00BE536E">
              <w:rPr>
                <w:rFonts w:ascii="Verdana" w:hAnsi="Verdana"/>
                <w:sz w:val="20"/>
                <w:szCs w:val="20"/>
              </w:rPr>
              <w:t>определенной с использованием</w:t>
            </w:r>
            <w:r w:rsidR="00C74B50" w:rsidRPr="00BE536E">
              <w:rPr>
                <w:rFonts w:ascii="Verdana" w:hAnsi="Verdana"/>
                <w:sz w:val="20"/>
                <w:szCs w:val="20"/>
              </w:rPr>
              <w:t xml:space="preserve"> </w:t>
            </w:r>
            <w:r w:rsidR="00990A52" w:rsidRPr="00BE536E">
              <w:rPr>
                <w:rFonts w:ascii="Verdana" w:hAnsi="Verdana"/>
                <w:sz w:val="20"/>
                <w:szCs w:val="20"/>
              </w:rPr>
              <w:t>метод</w:t>
            </w:r>
            <w:r w:rsidR="00C74B50" w:rsidRPr="00BE536E">
              <w:rPr>
                <w:rFonts w:ascii="Verdana" w:hAnsi="Verdana"/>
                <w:sz w:val="20"/>
                <w:szCs w:val="20"/>
              </w:rPr>
              <w:t>а</w:t>
            </w:r>
            <w:r w:rsidR="00990A52" w:rsidRPr="00BE536E">
              <w:rPr>
                <w:rFonts w:ascii="Verdana" w:hAnsi="Verdana"/>
                <w:sz w:val="20"/>
                <w:szCs w:val="20"/>
              </w:rPr>
              <w:t xml:space="preserve"> приведенной стоимости будущих денежных потоков </w:t>
            </w:r>
            <w:r w:rsidR="003E2F75" w:rsidRPr="00BE536E">
              <w:rPr>
                <w:rFonts w:ascii="Verdana" w:hAnsi="Verdana"/>
                <w:sz w:val="20"/>
                <w:szCs w:val="20"/>
              </w:rPr>
              <w:t xml:space="preserve">на весь срок </w:t>
            </w:r>
            <w:r w:rsidR="006B71BB" w:rsidRPr="00BE536E">
              <w:rPr>
                <w:rFonts w:ascii="Verdana" w:hAnsi="Verdana"/>
                <w:sz w:val="20"/>
                <w:szCs w:val="20"/>
              </w:rPr>
              <w:t xml:space="preserve">депозита </w:t>
            </w:r>
            <w:r w:rsidR="00990A52" w:rsidRPr="00BE536E">
              <w:rPr>
                <w:rFonts w:ascii="Verdana" w:hAnsi="Verdana"/>
                <w:sz w:val="20"/>
                <w:szCs w:val="20"/>
              </w:rPr>
              <w:t>(</w:t>
            </w:r>
            <w:hyperlink w:anchor="приложение_5" w:history="1">
              <w:r w:rsidR="00990A52" w:rsidRPr="00BE536E">
                <w:rPr>
                  <w:rStyle w:val="a5"/>
                  <w:rFonts w:ascii="Verdana" w:hAnsi="Verdana"/>
                  <w:sz w:val="20"/>
                  <w:szCs w:val="20"/>
                </w:rPr>
                <w:t xml:space="preserve">Приложение </w:t>
              </w:r>
              <w:r w:rsidR="002A2DBC" w:rsidRPr="00BE536E">
                <w:rPr>
                  <w:rStyle w:val="a5"/>
                  <w:rFonts w:ascii="Verdana" w:hAnsi="Verdana"/>
                  <w:sz w:val="20"/>
                  <w:szCs w:val="20"/>
                </w:rPr>
                <w:t>4</w:t>
              </w:r>
            </w:hyperlink>
            <w:r w:rsidR="00990A52" w:rsidRPr="00BE536E">
              <w:rPr>
                <w:rFonts w:ascii="Verdana" w:hAnsi="Verdana"/>
                <w:sz w:val="20"/>
                <w:szCs w:val="20"/>
              </w:rPr>
              <w:t>)</w:t>
            </w:r>
            <w:r w:rsidR="0002211F" w:rsidRPr="00BE536E">
              <w:rPr>
                <w:rFonts w:ascii="Verdana" w:hAnsi="Verdana"/>
                <w:sz w:val="20"/>
                <w:szCs w:val="20"/>
              </w:rPr>
              <w:t xml:space="preserve"> </w:t>
            </w:r>
            <w:r w:rsidRPr="00BE536E">
              <w:rPr>
                <w:rFonts w:ascii="Verdana" w:hAnsi="Verdana"/>
                <w:b/>
                <w:sz w:val="20"/>
                <w:szCs w:val="20"/>
              </w:rPr>
              <w:t>в иных случаях</w:t>
            </w:r>
            <w:r w:rsidR="00C12E8A" w:rsidRPr="00BE536E">
              <w:rPr>
                <w:rFonts w:ascii="Verdana" w:hAnsi="Verdana"/>
                <w:b/>
                <w:sz w:val="20"/>
                <w:szCs w:val="20"/>
              </w:rPr>
              <w:t>.</w:t>
            </w:r>
            <w:r w:rsidR="00D830D3" w:rsidRPr="00BE536E">
              <w:rPr>
                <w:rFonts w:ascii="Verdana" w:hAnsi="Verdana"/>
                <w:b/>
                <w:sz w:val="20"/>
                <w:szCs w:val="20"/>
              </w:rPr>
              <w:t xml:space="preserve"> </w:t>
            </w:r>
            <w:r w:rsidR="00D830D3" w:rsidRPr="00BE536E">
              <w:rPr>
                <w:rFonts w:ascii="Verdana" w:hAnsi="Verdana"/>
                <w:sz w:val="20"/>
                <w:szCs w:val="20"/>
              </w:rPr>
              <w:t>При этом</w:t>
            </w:r>
            <w:r w:rsidR="00D830D3" w:rsidRPr="00BE536E">
              <w:rPr>
                <w:rFonts w:ascii="Verdana" w:hAnsi="Verdana"/>
                <w:b/>
                <w:sz w:val="20"/>
                <w:szCs w:val="20"/>
              </w:rPr>
              <w:t xml:space="preserve"> </w:t>
            </w:r>
            <w:r w:rsidR="00D830D3" w:rsidRPr="00BE536E">
              <w:rPr>
                <w:rFonts w:ascii="Verdana" w:eastAsia="Times New Roman" w:hAnsi="Verdana"/>
                <w:bCs/>
                <w:color w:val="000000"/>
                <w:sz w:val="20"/>
                <w:szCs w:val="20"/>
                <w:lang w:eastAsia="ru-RU"/>
              </w:rPr>
              <w:t>справедливая стоимость</w:t>
            </w:r>
            <w:r w:rsidR="0058606F" w:rsidRPr="00BE536E">
              <w:rPr>
                <w:rFonts w:ascii="Verdana" w:eastAsia="Times New Roman" w:hAnsi="Verdana"/>
                <w:bCs/>
                <w:color w:val="000000"/>
                <w:sz w:val="20"/>
                <w:szCs w:val="20"/>
                <w:lang w:eastAsia="ru-RU"/>
              </w:rPr>
              <w:t xml:space="preserve"> на дату определения СЧА</w:t>
            </w:r>
            <w:r w:rsidR="00D830D3" w:rsidRPr="00BE536E">
              <w:rPr>
                <w:rFonts w:ascii="Verdana" w:eastAsia="Times New Roman" w:hAnsi="Verdana"/>
                <w:bCs/>
                <w:color w:val="000000"/>
                <w:sz w:val="20"/>
                <w:szCs w:val="20"/>
                <w:lang w:eastAsia="ru-RU"/>
              </w:rPr>
              <w:t xml:space="preserve"> не может быть ниже </w:t>
            </w:r>
            <w:r w:rsidR="004355A2" w:rsidRPr="00BE536E">
              <w:rPr>
                <w:rFonts w:ascii="Verdana" w:eastAsia="Times New Roman" w:hAnsi="Verdana"/>
                <w:bCs/>
                <w:color w:val="000000"/>
                <w:sz w:val="20"/>
                <w:szCs w:val="20"/>
                <w:lang w:eastAsia="ru-RU"/>
              </w:rPr>
              <w:t>суммы</w:t>
            </w:r>
            <w:r w:rsidR="00D830D3" w:rsidRPr="00BE536E">
              <w:rPr>
                <w:rFonts w:ascii="Verdana" w:eastAsia="Times New Roman" w:hAnsi="Verdana"/>
                <w:bCs/>
                <w:color w:val="000000"/>
                <w:sz w:val="20"/>
                <w:szCs w:val="20"/>
                <w:lang w:eastAsia="ru-RU"/>
              </w:rPr>
              <w:t>, которая</w:t>
            </w:r>
            <w:r w:rsidR="00965121" w:rsidRPr="00BE536E">
              <w:rPr>
                <w:rFonts w:ascii="Verdana" w:eastAsia="Times New Roman" w:hAnsi="Verdana"/>
                <w:bCs/>
                <w:color w:val="000000"/>
                <w:sz w:val="20"/>
                <w:szCs w:val="20"/>
                <w:lang w:eastAsia="ru-RU"/>
              </w:rPr>
              <w:t xml:space="preserve"> была бы</w:t>
            </w:r>
            <w:r w:rsidR="00D830D3" w:rsidRPr="00BE536E">
              <w:rPr>
                <w:rFonts w:ascii="Verdana" w:eastAsia="Times New Roman" w:hAnsi="Verdana"/>
                <w:bCs/>
                <w:color w:val="000000"/>
                <w:sz w:val="20"/>
                <w:szCs w:val="20"/>
                <w:lang w:eastAsia="ru-RU"/>
              </w:rPr>
              <w:t xml:space="preserve"> </w:t>
            </w:r>
            <w:r w:rsidR="0058606F" w:rsidRPr="00BE536E">
              <w:rPr>
                <w:rFonts w:ascii="Verdana" w:eastAsia="Times New Roman" w:hAnsi="Verdana"/>
                <w:bCs/>
                <w:color w:val="000000"/>
                <w:sz w:val="20"/>
                <w:szCs w:val="20"/>
                <w:lang w:eastAsia="ru-RU"/>
              </w:rPr>
              <w:t xml:space="preserve">возвращена в ПИФ </w:t>
            </w:r>
            <w:r w:rsidR="00D830D3" w:rsidRPr="00BE536E">
              <w:rPr>
                <w:rFonts w:ascii="Verdana" w:eastAsia="Times New Roman" w:hAnsi="Verdana"/>
                <w:bCs/>
                <w:color w:val="000000"/>
                <w:sz w:val="20"/>
                <w:szCs w:val="20"/>
                <w:lang w:eastAsia="ru-RU"/>
              </w:rPr>
              <w:t>при</w:t>
            </w:r>
            <w:r w:rsidR="0058606F" w:rsidRPr="00BE536E">
              <w:rPr>
                <w:rFonts w:ascii="Verdana" w:eastAsia="Times New Roman" w:hAnsi="Verdana"/>
                <w:bCs/>
                <w:color w:val="000000"/>
                <w:sz w:val="20"/>
                <w:szCs w:val="20"/>
                <w:lang w:eastAsia="ru-RU"/>
              </w:rPr>
              <w:t xml:space="preserve"> условии </w:t>
            </w:r>
            <w:r w:rsidR="003D73E2" w:rsidRPr="00BE536E">
              <w:rPr>
                <w:rFonts w:ascii="Verdana" w:eastAsia="Times New Roman" w:hAnsi="Verdana"/>
                <w:bCs/>
                <w:color w:val="000000"/>
                <w:sz w:val="20"/>
                <w:szCs w:val="20"/>
                <w:lang w:eastAsia="ru-RU"/>
              </w:rPr>
              <w:t>расторжения</w:t>
            </w:r>
            <w:r w:rsidR="00D830D3" w:rsidRPr="00BE536E">
              <w:rPr>
                <w:rFonts w:ascii="Verdana" w:eastAsia="Times New Roman" w:hAnsi="Verdana"/>
                <w:bCs/>
                <w:color w:val="000000"/>
                <w:sz w:val="20"/>
                <w:szCs w:val="20"/>
                <w:lang w:eastAsia="ru-RU"/>
              </w:rPr>
              <w:t xml:space="preserve"> </w:t>
            </w:r>
            <w:r w:rsidR="006B71BB" w:rsidRPr="00BE536E">
              <w:rPr>
                <w:rFonts w:ascii="Verdana" w:eastAsia="Times New Roman" w:hAnsi="Verdana"/>
                <w:bCs/>
                <w:color w:val="000000"/>
                <w:sz w:val="20"/>
                <w:szCs w:val="20"/>
                <w:lang w:eastAsia="ru-RU"/>
              </w:rPr>
              <w:t xml:space="preserve">депозитного </w:t>
            </w:r>
            <w:r w:rsidR="00D830D3" w:rsidRPr="00BE536E">
              <w:rPr>
                <w:rFonts w:ascii="Verdana" w:eastAsia="Times New Roman" w:hAnsi="Verdana"/>
                <w:bCs/>
                <w:color w:val="000000"/>
                <w:sz w:val="20"/>
                <w:szCs w:val="20"/>
                <w:lang w:eastAsia="ru-RU"/>
              </w:rPr>
              <w:t xml:space="preserve">договора </w:t>
            </w:r>
            <w:r w:rsidR="00B224E1" w:rsidRPr="00BE536E">
              <w:rPr>
                <w:rFonts w:ascii="Verdana" w:eastAsia="Times New Roman" w:hAnsi="Verdana"/>
                <w:bCs/>
                <w:color w:val="000000"/>
                <w:sz w:val="20"/>
                <w:szCs w:val="20"/>
                <w:lang w:eastAsia="ru-RU"/>
              </w:rPr>
              <w:t>на дату оценки</w:t>
            </w:r>
            <w:r w:rsidR="00D830D3" w:rsidRPr="00BE536E">
              <w:rPr>
                <w:rFonts w:ascii="Verdana" w:eastAsia="Times New Roman" w:hAnsi="Verdana"/>
                <w:bCs/>
                <w:color w:val="000000"/>
                <w:sz w:val="20"/>
                <w:szCs w:val="20"/>
                <w:lang w:eastAsia="ru-RU"/>
              </w:rPr>
              <w:t>.</w:t>
            </w:r>
          </w:p>
          <w:p w14:paraId="39D2DDBE" w14:textId="77777777" w:rsidR="00D7103A" w:rsidRPr="00BE536E" w:rsidRDefault="00077F4A" w:rsidP="00AF078A">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В случае внесения изменени</w:t>
            </w:r>
            <w:r w:rsidR="006B71BB" w:rsidRPr="00BE536E">
              <w:rPr>
                <w:rFonts w:ascii="Verdana" w:eastAsia="Times New Roman" w:hAnsi="Verdana"/>
                <w:bCs/>
                <w:color w:val="000000"/>
                <w:sz w:val="20"/>
                <w:szCs w:val="20"/>
                <w:lang w:eastAsia="ru-RU"/>
              </w:rPr>
              <w:t>й</w:t>
            </w:r>
            <w:r w:rsidRPr="00BE536E">
              <w:rPr>
                <w:rFonts w:ascii="Verdana" w:eastAsia="Times New Roman" w:hAnsi="Verdana"/>
                <w:bCs/>
                <w:color w:val="000000"/>
                <w:sz w:val="20"/>
                <w:szCs w:val="20"/>
                <w:lang w:eastAsia="ru-RU"/>
              </w:rPr>
              <w:t xml:space="preserve"> в </w:t>
            </w:r>
            <w:r w:rsidRPr="00BE536E">
              <w:rPr>
                <w:rFonts w:ascii="Verdana" w:hAnsi="Verdana"/>
                <w:sz w:val="20"/>
                <w:szCs w:val="20"/>
              </w:rPr>
              <w:t>условия определения срока</w:t>
            </w:r>
            <w:r w:rsidRPr="00BE536E">
              <w:rPr>
                <w:rFonts w:ascii="Verdana" w:eastAsia="Times New Roman" w:hAnsi="Verdana"/>
                <w:bCs/>
                <w:color w:val="000000"/>
                <w:sz w:val="20"/>
                <w:szCs w:val="20"/>
                <w:lang w:eastAsia="ru-RU"/>
              </w:rPr>
              <w:t xml:space="preserve"> договора </w:t>
            </w:r>
            <w:r w:rsidRPr="00BE536E">
              <w:rPr>
                <w:rFonts w:ascii="Verdana" w:hAnsi="Verdana"/>
                <w:sz w:val="20"/>
                <w:szCs w:val="20"/>
              </w:rPr>
              <w:t xml:space="preserve">максимальный срок определяется в соответствии с  изменённым сроком </w:t>
            </w:r>
            <w:r w:rsidR="006B71BB" w:rsidRPr="00BE536E">
              <w:rPr>
                <w:rFonts w:ascii="Verdana" w:hAnsi="Verdana"/>
                <w:sz w:val="20"/>
                <w:szCs w:val="20"/>
              </w:rPr>
              <w:t xml:space="preserve">депозита, </w:t>
            </w:r>
            <w:r w:rsidR="00B933DE" w:rsidRPr="00BE536E">
              <w:rPr>
                <w:rFonts w:ascii="Verdana" w:hAnsi="Verdana"/>
                <w:sz w:val="20"/>
                <w:szCs w:val="20"/>
              </w:rPr>
              <w:t>действующим на дату определения СЧА</w:t>
            </w:r>
            <w:r w:rsidR="006B71BB" w:rsidRPr="00BE536E">
              <w:rPr>
                <w:rFonts w:ascii="Verdana" w:hAnsi="Verdana"/>
                <w:sz w:val="20"/>
                <w:szCs w:val="20"/>
              </w:rPr>
              <w:t>,</w:t>
            </w:r>
            <w:r w:rsidR="00B933DE" w:rsidRPr="00BE536E">
              <w:rPr>
                <w:rFonts w:ascii="Verdana" w:hAnsi="Verdana"/>
                <w:sz w:val="20"/>
                <w:szCs w:val="20"/>
              </w:rPr>
              <w:t xml:space="preserve"> </w:t>
            </w:r>
            <w:r w:rsidRPr="00BE536E">
              <w:rPr>
                <w:rFonts w:ascii="Verdana" w:hAnsi="Verdana"/>
                <w:sz w:val="20"/>
                <w:szCs w:val="20"/>
              </w:rPr>
              <w:t xml:space="preserve">причем накопление срока </w:t>
            </w:r>
            <w:r w:rsidR="00B933DE" w:rsidRPr="00BE536E">
              <w:rPr>
                <w:rFonts w:ascii="Verdana" w:hAnsi="Verdana"/>
                <w:sz w:val="20"/>
                <w:szCs w:val="20"/>
              </w:rPr>
              <w:t xml:space="preserve">вклада </w:t>
            </w:r>
            <w:r w:rsidRPr="00BE536E">
              <w:rPr>
                <w:rFonts w:ascii="Verdana" w:hAnsi="Verdana"/>
                <w:sz w:val="20"/>
                <w:szCs w:val="20"/>
              </w:rPr>
              <w:t>не происходит.</w:t>
            </w:r>
          </w:p>
          <w:p w14:paraId="69919D22" w14:textId="77777777" w:rsidR="008E72E5" w:rsidRPr="00BE536E" w:rsidRDefault="008E72E5" w:rsidP="00AF078A">
            <w:pPr>
              <w:spacing w:after="0" w:line="240" w:lineRule="auto"/>
              <w:jc w:val="both"/>
              <w:rPr>
                <w:rFonts w:ascii="Verdana" w:eastAsia="Times New Roman" w:hAnsi="Verdana"/>
                <w:bCs/>
                <w:color w:val="000000"/>
                <w:sz w:val="20"/>
                <w:szCs w:val="20"/>
                <w:lang w:eastAsia="ru-RU"/>
              </w:rPr>
            </w:pPr>
            <w:r w:rsidRPr="00BE536E">
              <w:rPr>
                <w:rFonts w:ascii="Verdana" w:hAnsi="Verdana"/>
                <w:bCs/>
                <w:color w:val="000000"/>
                <w:sz w:val="20"/>
                <w:szCs w:val="20"/>
              </w:rPr>
              <w:t xml:space="preserve">Справедливая стоимость депозитов определяется в соответствии с методом корректировки справедливой стоимости </w:t>
            </w:r>
            <w:r w:rsidRPr="00BE536E">
              <w:rPr>
                <w:rFonts w:ascii="Verdana" w:hAnsi="Verdana"/>
                <w:b/>
                <w:color w:val="000000"/>
                <w:sz w:val="20"/>
                <w:szCs w:val="20"/>
              </w:rPr>
              <w:t>при возникновении события, ведущего к обесценению</w:t>
            </w:r>
            <w:r w:rsidRPr="00BE536E">
              <w:rPr>
                <w:rFonts w:ascii="Verdana" w:hAnsi="Verdana"/>
                <w:bCs/>
                <w:color w:val="000000"/>
                <w:sz w:val="20"/>
                <w:szCs w:val="20"/>
              </w:rPr>
              <w:t xml:space="preserve"> (</w:t>
            </w:r>
            <w:hyperlink w:anchor="_Приложение_6._Метод" w:history="1">
              <w:r w:rsidR="006700EB" w:rsidRPr="00BE536E">
                <w:rPr>
                  <w:rStyle w:val="a5"/>
                  <w:rFonts w:ascii="Verdana" w:hAnsi="Verdana"/>
                  <w:sz w:val="20"/>
                  <w:szCs w:val="20"/>
                </w:rPr>
                <w:t>Приложение 5</w:t>
              </w:r>
            </w:hyperlink>
            <w:r w:rsidRPr="00BE536E">
              <w:rPr>
                <w:rFonts w:ascii="Verdana" w:hAnsi="Verdana"/>
                <w:bCs/>
                <w:color w:val="000000"/>
                <w:sz w:val="20"/>
                <w:szCs w:val="20"/>
              </w:rPr>
              <w:t>).</w:t>
            </w:r>
          </w:p>
          <w:p w14:paraId="12461CC3" w14:textId="77777777" w:rsidR="00E614F4" w:rsidRPr="00BE536E" w:rsidRDefault="00E614F4" w:rsidP="00827A8B">
            <w:pPr>
              <w:spacing w:after="0" w:line="240" w:lineRule="auto"/>
              <w:jc w:val="both"/>
              <w:rPr>
                <w:rFonts w:ascii="Verdana" w:eastAsia="Times New Roman" w:hAnsi="Verdana"/>
                <w:bCs/>
                <w:color w:val="000000"/>
                <w:sz w:val="20"/>
                <w:szCs w:val="20"/>
                <w:lang w:eastAsia="ru-RU"/>
              </w:rPr>
            </w:pPr>
          </w:p>
        </w:tc>
      </w:tr>
      <w:tr w:rsidR="00E614F4" w:rsidRPr="00BE536E" w14:paraId="639FFE03" w14:textId="77777777" w:rsidTr="00280039">
        <w:trPr>
          <w:trHeight w:val="66"/>
        </w:trPr>
        <w:tc>
          <w:tcPr>
            <w:tcW w:w="2410" w:type="dxa"/>
            <w:shd w:val="clear" w:color="auto" w:fill="A6A6A6"/>
          </w:tcPr>
          <w:p w14:paraId="3302425D" w14:textId="77777777" w:rsidR="00E614F4" w:rsidRPr="00BE536E" w:rsidRDefault="00E614F4" w:rsidP="00211A11">
            <w:pPr>
              <w:rPr>
                <w:rFonts w:ascii="Verdana" w:hAnsi="Verdana"/>
                <w:i/>
                <w:sz w:val="20"/>
                <w:szCs w:val="20"/>
              </w:rPr>
            </w:pPr>
            <w:r w:rsidRPr="00BE536E">
              <w:rPr>
                <w:rFonts w:ascii="Verdana" w:hAnsi="Verdana"/>
                <w:i/>
                <w:sz w:val="20"/>
                <w:szCs w:val="20"/>
              </w:rPr>
              <w:lastRenderedPageBreak/>
              <w:t>Дата и события, приводящ</w:t>
            </w:r>
            <w:r w:rsidR="00E42B06" w:rsidRPr="00BE536E">
              <w:rPr>
                <w:rFonts w:ascii="Verdana" w:hAnsi="Verdana"/>
                <w:i/>
                <w:sz w:val="20"/>
                <w:szCs w:val="20"/>
              </w:rPr>
              <w:t>и</w:t>
            </w:r>
            <w:r w:rsidRPr="00BE536E">
              <w:rPr>
                <w:rFonts w:ascii="Verdana" w:hAnsi="Verdana"/>
                <w:i/>
                <w:sz w:val="20"/>
                <w:szCs w:val="20"/>
              </w:rPr>
              <w:t xml:space="preserve">е к обесценению </w:t>
            </w:r>
          </w:p>
        </w:tc>
        <w:tc>
          <w:tcPr>
            <w:tcW w:w="7400" w:type="dxa"/>
          </w:tcPr>
          <w:p w14:paraId="78B8C665" w14:textId="77777777" w:rsidR="00777B4B" w:rsidRPr="00BE536E" w:rsidRDefault="008E72E5" w:rsidP="00567222">
            <w:pPr>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6700EB" w:rsidRPr="00BE536E">
                <w:rPr>
                  <w:rStyle w:val="a5"/>
                  <w:rFonts w:ascii="Verdana" w:hAnsi="Verdana"/>
                  <w:sz w:val="20"/>
                  <w:szCs w:val="20"/>
                </w:rPr>
                <w:t>Приложении 5</w:t>
              </w:r>
            </w:hyperlink>
            <w:r w:rsidRPr="00BE536E">
              <w:rPr>
                <w:rFonts w:ascii="Verdana" w:hAnsi="Verdana"/>
                <w:sz w:val="20"/>
                <w:szCs w:val="20"/>
              </w:rPr>
              <w:t>.</w:t>
            </w:r>
          </w:p>
        </w:tc>
      </w:tr>
    </w:tbl>
    <w:p w14:paraId="0BE09388" w14:textId="77777777" w:rsidR="00280039" w:rsidRPr="00BE536E" w:rsidRDefault="00280039" w:rsidP="00D704B3">
      <w:pPr>
        <w:pStyle w:val="10"/>
        <w:numPr>
          <w:ilvl w:val="0"/>
          <w:numId w:val="0"/>
        </w:numPr>
        <w:ind w:left="432"/>
        <w:jc w:val="left"/>
        <w:rPr>
          <w:rFonts w:ascii="Verdana" w:hAnsi="Verdana" w:cs="Arial"/>
          <w:b w:val="0"/>
          <w:bCs w:val="0"/>
          <w:iCs w:val="0"/>
          <w:caps/>
          <w:smallCaps w:val="0"/>
          <w:color w:val="943634"/>
          <w:sz w:val="24"/>
        </w:rPr>
      </w:pPr>
      <w:bookmarkStart w:id="23" w:name="_Toc27400767"/>
    </w:p>
    <w:p w14:paraId="41888519" w14:textId="77777777" w:rsidR="00280039" w:rsidRPr="00BE536E" w:rsidRDefault="00280039" w:rsidP="00280039">
      <w:pPr>
        <w:rPr>
          <w:lang w:eastAsia="ru-RU"/>
        </w:rPr>
      </w:pPr>
    </w:p>
    <w:p w14:paraId="2D66EEDE" w14:textId="77777777" w:rsidR="00280039" w:rsidRPr="00BE536E" w:rsidRDefault="00280039" w:rsidP="00280039">
      <w:pPr>
        <w:rPr>
          <w:lang w:eastAsia="ru-RU"/>
        </w:rPr>
      </w:pPr>
    </w:p>
    <w:p w14:paraId="60E68BDE" w14:textId="77777777" w:rsidR="00280039" w:rsidRPr="00BE536E" w:rsidRDefault="00280039" w:rsidP="00280039">
      <w:pPr>
        <w:rPr>
          <w:lang w:eastAsia="ru-RU"/>
        </w:rPr>
      </w:pPr>
    </w:p>
    <w:p w14:paraId="0790BFF5" w14:textId="77777777" w:rsidR="00280039" w:rsidRPr="00BE536E" w:rsidRDefault="00280039" w:rsidP="00280039">
      <w:pPr>
        <w:rPr>
          <w:lang w:eastAsia="ru-RU"/>
        </w:rPr>
      </w:pPr>
    </w:p>
    <w:p w14:paraId="5720DA97" w14:textId="77777777" w:rsidR="00280039" w:rsidRPr="00BE536E" w:rsidRDefault="00280039" w:rsidP="00280039">
      <w:pPr>
        <w:rPr>
          <w:lang w:eastAsia="ru-RU"/>
        </w:rPr>
      </w:pPr>
    </w:p>
    <w:p w14:paraId="226EC2BA" w14:textId="77777777" w:rsidR="00280039" w:rsidRPr="00BE536E" w:rsidRDefault="00280039" w:rsidP="00280039">
      <w:pPr>
        <w:rPr>
          <w:lang w:eastAsia="ru-RU"/>
        </w:rPr>
      </w:pPr>
    </w:p>
    <w:p w14:paraId="0E311451" w14:textId="77777777" w:rsidR="00280039" w:rsidRPr="00BE536E" w:rsidRDefault="00280039" w:rsidP="00280039">
      <w:pPr>
        <w:rPr>
          <w:lang w:eastAsia="ru-RU"/>
        </w:rPr>
      </w:pPr>
    </w:p>
    <w:p w14:paraId="0BE52A7D" w14:textId="77777777" w:rsidR="00280039" w:rsidRPr="00BE536E" w:rsidRDefault="00280039" w:rsidP="00280039">
      <w:pPr>
        <w:rPr>
          <w:lang w:eastAsia="ru-RU"/>
        </w:rPr>
      </w:pPr>
    </w:p>
    <w:p w14:paraId="719BC6B0" w14:textId="77777777" w:rsidR="00280039" w:rsidRPr="00BE536E" w:rsidRDefault="00280039" w:rsidP="00280039">
      <w:pPr>
        <w:rPr>
          <w:lang w:eastAsia="ru-RU"/>
        </w:rPr>
      </w:pPr>
    </w:p>
    <w:p w14:paraId="00224082" w14:textId="77777777" w:rsidR="00280039" w:rsidRPr="00BE536E" w:rsidRDefault="00280039" w:rsidP="00280039">
      <w:pPr>
        <w:rPr>
          <w:lang w:eastAsia="ru-RU"/>
        </w:rPr>
      </w:pPr>
    </w:p>
    <w:p w14:paraId="3D11645D" w14:textId="77777777" w:rsidR="00280039" w:rsidRPr="00BE536E" w:rsidRDefault="00280039" w:rsidP="00280039">
      <w:pPr>
        <w:rPr>
          <w:lang w:eastAsia="ru-RU"/>
        </w:rPr>
      </w:pPr>
    </w:p>
    <w:p w14:paraId="5F4412E9" w14:textId="77777777" w:rsidR="00280039" w:rsidRPr="00BE536E" w:rsidRDefault="00280039" w:rsidP="00280039">
      <w:pPr>
        <w:rPr>
          <w:lang w:eastAsia="ru-RU"/>
        </w:rPr>
      </w:pPr>
    </w:p>
    <w:p w14:paraId="519655AD" w14:textId="77777777" w:rsidR="00280039" w:rsidRPr="00BE536E" w:rsidRDefault="00280039" w:rsidP="00280039">
      <w:pPr>
        <w:rPr>
          <w:lang w:eastAsia="ru-RU"/>
        </w:rPr>
      </w:pPr>
    </w:p>
    <w:p w14:paraId="0F61B04F" w14:textId="77777777" w:rsidR="00280039" w:rsidRPr="00BE536E" w:rsidRDefault="00280039" w:rsidP="00280039">
      <w:pPr>
        <w:rPr>
          <w:lang w:eastAsia="ru-RU"/>
        </w:rPr>
      </w:pPr>
    </w:p>
    <w:p w14:paraId="31B56DBD" w14:textId="77777777" w:rsidR="00280039" w:rsidRPr="00BE536E" w:rsidRDefault="00280039" w:rsidP="00280039">
      <w:pPr>
        <w:rPr>
          <w:lang w:eastAsia="ru-RU"/>
        </w:rPr>
      </w:pPr>
    </w:p>
    <w:p w14:paraId="183FB77E" w14:textId="77777777" w:rsidR="00280039" w:rsidRPr="00BE536E" w:rsidRDefault="00280039" w:rsidP="00280039">
      <w:pPr>
        <w:rPr>
          <w:lang w:eastAsia="ru-RU"/>
        </w:rPr>
      </w:pPr>
    </w:p>
    <w:p w14:paraId="5F6F095B" w14:textId="77777777" w:rsidR="00280039" w:rsidRPr="00BE536E" w:rsidRDefault="00280039" w:rsidP="00280039">
      <w:pPr>
        <w:rPr>
          <w:lang w:eastAsia="ru-RU"/>
        </w:rPr>
      </w:pPr>
    </w:p>
    <w:p w14:paraId="41C6C4D2" w14:textId="77777777" w:rsidR="00280039" w:rsidRPr="00BE536E" w:rsidRDefault="00280039" w:rsidP="00D704B3">
      <w:pPr>
        <w:pStyle w:val="10"/>
        <w:numPr>
          <w:ilvl w:val="0"/>
          <w:numId w:val="0"/>
        </w:numPr>
        <w:ind w:left="432"/>
        <w:jc w:val="left"/>
        <w:rPr>
          <w:rFonts w:ascii="Verdana" w:hAnsi="Verdana" w:cs="Arial"/>
          <w:b w:val="0"/>
          <w:bCs w:val="0"/>
          <w:iCs w:val="0"/>
          <w:caps/>
          <w:smallCaps w:val="0"/>
          <w:color w:val="943634"/>
          <w:sz w:val="24"/>
        </w:rPr>
      </w:pPr>
    </w:p>
    <w:bookmarkEnd w:id="23"/>
    <w:p w14:paraId="450D8621" w14:textId="77777777" w:rsidR="008D52BF" w:rsidRPr="00BE536E" w:rsidRDefault="008D52BF" w:rsidP="00851E74">
      <w:pPr>
        <w:spacing w:line="360" w:lineRule="auto"/>
        <w:ind w:firstLine="720"/>
        <w:jc w:val="both"/>
        <w:rPr>
          <w:rFonts w:ascii="Verdana" w:hAnsi="Verdana"/>
        </w:rPr>
      </w:pPr>
    </w:p>
    <w:p w14:paraId="32DF79C1" w14:textId="77777777" w:rsidR="00BD35C8" w:rsidRPr="00BE536E" w:rsidRDefault="00BD35C8" w:rsidP="00851E74">
      <w:pPr>
        <w:spacing w:line="360" w:lineRule="auto"/>
        <w:ind w:firstLine="720"/>
        <w:jc w:val="both"/>
        <w:rPr>
          <w:rFonts w:ascii="Verdana" w:hAnsi="Verdana"/>
        </w:rPr>
      </w:pPr>
    </w:p>
    <w:p w14:paraId="424EABD1" w14:textId="77777777" w:rsidR="00BD35C8" w:rsidRPr="00BE536E" w:rsidRDefault="00BD35C8" w:rsidP="00851E74">
      <w:pPr>
        <w:spacing w:line="360" w:lineRule="auto"/>
        <w:ind w:firstLine="720"/>
        <w:jc w:val="both"/>
        <w:rPr>
          <w:rFonts w:ascii="Verdana" w:hAnsi="Verdana"/>
        </w:rPr>
      </w:pPr>
    </w:p>
    <w:p w14:paraId="5F224E6F" w14:textId="77777777" w:rsidR="00BD35C8" w:rsidRPr="00BE536E" w:rsidRDefault="00BD35C8" w:rsidP="00851E74">
      <w:pPr>
        <w:spacing w:line="360" w:lineRule="auto"/>
        <w:ind w:firstLine="720"/>
        <w:jc w:val="both"/>
        <w:rPr>
          <w:rFonts w:ascii="Verdana" w:hAnsi="Verdana"/>
        </w:rPr>
      </w:pPr>
    </w:p>
    <w:p w14:paraId="6D692B5D" w14:textId="36D3DDE1" w:rsidR="001575DF" w:rsidRPr="00BE536E" w:rsidRDefault="001575DF" w:rsidP="001575DF">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10</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финансовые активы (ценные бумаги/нфи/валюта) </w:t>
      </w:r>
      <w:r w:rsidRPr="00BE536E">
        <w:rPr>
          <w:rFonts w:ascii="Verdana" w:hAnsi="Verdana" w:cs="Arial"/>
          <w:bCs w:val="0"/>
          <w:iCs w:val="0"/>
          <w:smallCaps w:val="0"/>
          <w:color w:val="943634"/>
          <w:sz w:val="24"/>
        </w:rPr>
        <w:t>при использовании метода учета «по дате сделки»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82"/>
        <w:gridCol w:w="7738"/>
      </w:tblGrid>
      <w:tr w:rsidR="001575DF" w:rsidRPr="00BE536E" w14:paraId="69B85D07" w14:textId="77777777" w:rsidTr="00C819D7">
        <w:trPr>
          <w:trHeight w:val="363"/>
        </w:trPr>
        <w:tc>
          <w:tcPr>
            <w:tcW w:w="1060" w:type="pct"/>
            <w:shd w:val="clear" w:color="auto" w:fill="A6A6A6" w:themeFill="background1" w:themeFillShade="A6"/>
          </w:tcPr>
          <w:p w14:paraId="76B16DCB" w14:textId="77777777" w:rsidR="001575DF" w:rsidRPr="00BE536E" w:rsidRDefault="001575DF" w:rsidP="00C819D7">
            <w:pPr>
              <w:autoSpaceDN w:val="0"/>
              <w:adjustRightInd w:val="0"/>
              <w:rPr>
                <w:b/>
                <w:bCs/>
                <w:color w:val="000000" w:themeColor="text1"/>
                <w:sz w:val="24"/>
                <w:szCs w:val="24"/>
                <w:lang w:eastAsia="ru-RU"/>
              </w:rPr>
            </w:pPr>
            <w:r w:rsidRPr="00BE536E">
              <w:rPr>
                <w:b/>
                <w:bCs/>
                <w:color w:val="000000" w:themeColor="text1"/>
                <w:sz w:val="24"/>
                <w:szCs w:val="24"/>
                <w:lang w:eastAsia="ru-RU"/>
              </w:rPr>
              <w:t>Виды активов</w:t>
            </w:r>
          </w:p>
        </w:tc>
        <w:tc>
          <w:tcPr>
            <w:tcW w:w="3940" w:type="pct"/>
          </w:tcPr>
          <w:p w14:paraId="0FCDEAE0" w14:textId="77777777" w:rsidR="001575DF" w:rsidRPr="00BE536E" w:rsidRDefault="001575DF" w:rsidP="00C819D7">
            <w:pPr>
              <w:autoSpaceDN w:val="0"/>
              <w:adjustRightInd w:val="0"/>
              <w:jc w:val="both"/>
              <w:rPr>
                <w:iCs/>
                <w:color w:val="000000" w:themeColor="text1"/>
                <w:sz w:val="24"/>
                <w:szCs w:val="24"/>
                <w:lang w:eastAsia="ru-RU"/>
              </w:rPr>
            </w:pPr>
            <w:r w:rsidRPr="00BE536E">
              <w:rPr>
                <w:bCs/>
                <w:color w:val="000000" w:themeColor="text1"/>
                <w:sz w:val="24"/>
                <w:szCs w:val="24"/>
                <w:lang w:eastAsia="ru-RU"/>
              </w:rPr>
              <w:t>Ценные бумаги/НФИ/валюта</w:t>
            </w:r>
          </w:p>
        </w:tc>
      </w:tr>
      <w:tr w:rsidR="001575DF" w:rsidRPr="00BE536E" w14:paraId="4C0BA9E0" w14:textId="77777777" w:rsidTr="00C819D7">
        <w:trPr>
          <w:trHeight w:val="664"/>
        </w:trPr>
        <w:tc>
          <w:tcPr>
            <w:tcW w:w="1060" w:type="pct"/>
            <w:shd w:val="clear" w:color="auto" w:fill="A6A6A6" w:themeFill="background1" w:themeFillShade="A6"/>
          </w:tcPr>
          <w:p w14:paraId="60D5C496" w14:textId="77777777" w:rsidR="001575DF" w:rsidRPr="00BE536E" w:rsidRDefault="001575DF" w:rsidP="00C819D7">
            <w:pPr>
              <w:autoSpaceDN w:val="0"/>
              <w:adjustRightInd w:val="0"/>
              <w:rPr>
                <w:b/>
                <w:color w:val="000000" w:themeColor="text1"/>
                <w:sz w:val="24"/>
                <w:szCs w:val="24"/>
                <w:lang w:eastAsia="ru-RU"/>
              </w:rPr>
            </w:pPr>
            <w:r w:rsidRPr="00BE536E">
              <w:rPr>
                <w:b/>
                <w:bCs/>
                <w:color w:val="000000" w:themeColor="text1"/>
                <w:sz w:val="24"/>
                <w:szCs w:val="24"/>
                <w:lang w:eastAsia="ru-RU"/>
              </w:rPr>
              <w:t>Критерии признания (за исключением сделок РЕПО)</w:t>
            </w:r>
          </w:p>
        </w:tc>
        <w:tc>
          <w:tcPr>
            <w:tcW w:w="3940" w:type="pct"/>
            <w:vAlign w:val="center"/>
          </w:tcPr>
          <w:p w14:paraId="03E38FAE" w14:textId="77777777" w:rsidR="001575DF" w:rsidRPr="00BE536E" w:rsidRDefault="001575DF" w:rsidP="00567222">
            <w:pPr>
              <w:autoSpaceDN w:val="0"/>
              <w:adjustRightInd w:val="0"/>
              <w:rPr>
                <w:bCs/>
                <w:color w:val="000000" w:themeColor="text1"/>
                <w:sz w:val="24"/>
                <w:szCs w:val="24"/>
                <w:lang w:eastAsia="ru-RU"/>
              </w:rPr>
            </w:pPr>
            <w:r w:rsidRPr="00BE536E">
              <w:rPr>
                <w:bCs/>
                <w:color w:val="000000" w:themeColor="text1"/>
                <w:sz w:val="24"/>
                <w:szCs w:val="24"/>
                <w:lang w:eastAsia="ru-RU"/>
              </w:rPr>
              <w:t>Дата заключения сделки на покупку в соответствии с отчетом брокера/договором</w:t>
            </w:r>
          </w:p>
        </w:tc>
      </w:tr>
      <w:tr w:rsidR="001575DF" w:rsidRPr="00BE536E" w14:paraId="6CC56A3F" w14:textId="77777777" w:rsidTr="00C819D7">
        <w:tc>
          <w:tcPr>
            <w:tcW w:w="1060" w:type="pct"/>
            <w:shd w:val="clear" w:color="auto" w:fill="A6A6A6" w:themeFill="background1" w:themeFillShade="A6"/>
          </w:tcPr>
          <w:p w14:paraId="7680E1E5" w14:textId="77777777" w:rsidR="001575DF" w:rsidRPr="00BE536E" w:rsidRDefault="001575DF" w:rsidP="00C819D7">
            <w:pPr>
              <w:autoSpaceDN w:val="0"/>
              <w:adjustRightInd w:val="0"/>
              <w:rPr>
                <w:b/>
                <w:color w:val="000000" w:themeColor="text1"/>
                <w:sz w:val="24"/>
                <w:szCs w:val="24"/>
                <w:lang w:eastAsia="ru-RU"/>
              </w:rPr>
            </w:pPr>
            <w:r w:rsidRPr="00BE536E">
              <w:rPr>
                <w:b/>
                <w:color w:val="000000" w:themeColor="text1"/>
                <w:sz w:val="24"/>
                <w:szCs w:val="24"/>
                <w:lang w:eastAsia="ru-RU"/>
              </w:rPr>
              <w:t>Критерии прекращения признания (за исключением сделок РЕПО)</w:t>
            </w:r>
          </w:p>
        </w:tc>
        <w:tc>
          <w:tcPr>
            <w:tcW w:w="3940" w:type="pct"/>
          </w:tcPr>
          <w:p w14:paraId="49670122" w14:textId="77777777" w:rsidR="001575DF" w:rsidRPr="00BE536E" w:rsidRDefault="001575DF" w:rsidP="00D05311">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дата заключения сделки на продажу в соответствии с отчетом брокера/договором; </w:t>
            </w:r>
          </w:p>
          <w:p w14:paraId="0FA34168" w14:textId="77777777" w:rsidR="001575DF" w:rsidRPr="00BE536E" w:rsidRDefault="001575DF" w:rsidP="00D05311">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дата ликвидации эмитента ценной бумаги/НФИ;</w:t>
            </w:r>
          </w:p>
          <w:p w14:paraId="0510F446" w14:textId="77777777" w:rsidR="001575DF" w:rsidRPr="00BE536E" w:rsidRDefault="001575DF" w:rsidP="00D05311">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дата наступления срока погашения ценной бумаги/НФИ, за исключением досрочного погашения;</w:t>
            </w:r>
          </w:p>
          <w:p w14:paraId="7677CB76" w14:textId="77777777" w:rsidR="001575DF" w:rsidRPr="00BE536E" w:rsidRDefault="001575DF" w:rsidP="00D05311">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дата получения денежных средств в счет полного исполнения обязательств по досрочному погашению ценной бумаги/НФИ.</w:t>
            </w:r>
          </w:p>
        </w:tc>
      </w:tr>
      <w:tr w:rsidR="001575DF" w:rsidRPr="00BE536E" w14:paraId="74678508" w14:textId="77777777" w:rsidTr="00C819D7">
        <w:tc>
          <w:tcPr>
            <w:tcW w:w="1060" w:type="pct"/>
            <w:shd w:val="clear" w:color="auto" w:fill="A6A6A6" w:themeFill="background1" w:themeFillShade="A6"/>
          </w:tcPr>
          <w:p w14:paraId="6C89E0CE" w14:textId="77777777" w:rsidR="001575DF" w:rsidRPr="00BE536E" w:rsidRDefault="001575DF" w:rsidP="00C819D7">
            <w:pPr>
              <w:autoSpaceDN w:val="0"/>
              <w:adjustRightInd w:val="0"/>
              <w:rPr>
                <w:b/>
                <w:color w:val="000000" w:themeColor="text1"/>
                <w:sz w:val="24"/>
                <w:szCs w:val="24"/>
                <w:lang w:eastAsia="ru-RU"/>
              </w:rPr>
            </w:pPr>
            <w:r w:rsidRPr="00BE536E">
              <w:rPr>
                <w:b/>
                <w:color w:val="000000" w:themeColor="text1"/>
                <w:sz w:val="24"/>
                <w:szCs w:val="24"/>
                <w:lang w:eastAsia="ru-RU"/>
              </w:rPr>
              <w:t>Справедливая стоимость</w:t>
            </w:r>
          </w:p>
        </w:tc>
        <w:tc>
          <w:tcPr>
            <w:tcW w:w="3940" w:type="pct"/>
          </w:tcPr>
          <w:p w14:paraId="00822AA9" w14:textId="77777777" w:rsidR="001575DF" w:rsidRPr="00BE536E" w:rsidRDefault="001575DF" w:rsidP="00274EE4">
            <w:pPr>
              <w:autoSpaceDN w:val="0"/>
              <w:adjustRightInd w:val="0"/>
              <w:spacing w:after="0"/>
              <w:jc w:val="both"/>
              <w:rPr>
                <w:bCs/>
                <w:color w:val="000000" w:themeColor="text1"/>
                <w:sz w:val="24"/>
                <w:szCs w:val="24"/>
                <w:lang w:eastAsia="ru-RU"/>
              </w:rPr>
            </w:pPr>
            <w:r w:rsidRPr="00BE536E">
              <w:rPr>
                <w:bCs/>
                <w:color w:val="000000" w:themeColor="text1"/>
                <w:sz w:val="24"/>
                <w:szCs w:val="24"/>
                <w:lang w:eastAsia="ru-RU"/>
              </w:rPr>
              <w:t xml:space="preserve"> Справедливая стоимость ценной бумаги определяется в соответствии с Приложением 2. </w:t>
            </w:r>
          </w:p>
          <w:p w14:paraId="1CAB578F" w14:textId="68D4D9A2" w:rsidR="001575DF" w:rsidRPr="00BE536E" w:rsidRDefault="001575DF" w:rsidP="00274EE4">
            <w:pPr>
              <w:autoSpaceDN w:val="0"/>
              <w:adjustRightInd w:val="0"/>
              <w:spacing w:after="0"/>
              <w:jc w:val="both"/>
              <w:rPr>
                <w:bCs/>
                <w:color w:val="000000" w:themeColor="text1"/>
                <w:sz w:val="24"/>
                <w:szCs w:val="24"/>
                <w:lang w:eastAsia="ru-RU"/>
              </w:rPr>
            </w:pPr>
            <w:r w:rsidRPr="00BE536E">
              <w:rPr>
                <w:bCs/>
                <w:color w:val="000000" w:themeColor="text1"/>
                <w:sz w:val="24"/>
                <w:szCs w:val="24"/>
                <w:lang w:eastAsia="ru-RU"/>
              </w:rPr>
              <w:t xml:space="preserve"> Справедливая стоимость НФИ – в зависимости от того, какие права удостоверяет этот инструмент, определяется либо в соответствии с Приложением 2 либо в соответствии с Приложением </w:t>
            </w:r>
            <w:r w:rsidR="000E30D2" w:rsidRPr="00BE536E">
              <w:rPr>
                <w:bCs/>
                <w:color w:val="000000" w:themeColor="text1"/>
                <w:sz w:val="24"/>
                <w:szCs w:val="24"/>
                <w:lang w:eastAsia="ru-RU"/>
              </w:rPr>
              <w:t>1</w:t>
            </w:r>
            <w:r w:rsidR="00F776DF">
              <w:rPr>
                <w:bCs/>
                <w:color w:val="000000" w:themeColor="text1"/>
                <w:sz w:val="24"/>
                <w:szCs w:val="24"/>
                <w:lang w:eastAsia="ru-RU"/>
              </w:rPr>
              <w:t>8</w:t>
            </w:r>
            <w:r w:rsidRPr="00BE536E">
              <w:rPr>
                <w:bCs/>
                <w:color w:val="000000" w:themeColor="text1"/>
                <w:sz w:val="24"/>
                <w:szCs w:val="24"/>
                <w:lang w:eastAsia="ru-RU"/>
              </w:rPr>
              <w:t>.</w:t>
            </w:r>
          </w:p>
          <w:p w14:paraId="744ACB56" w14:textId="48AE1D7A" w:rsidR="001575DF" w:rsidRPr="00BE536E" w:rsidRDefault="001575DF" w:rsidP="00F776DF">
            <w:pPr>
              <w:autoSpaceDN w:val="0"/>
              <w:adjustRightInd w:val="0"/>
              <w:spacing w:after="0"/>
              <w:jc w:val="both"/>
              <w:rPr>
                <w:bCs/>
                <w:strike/>
                <w:color w:val="FF0000"/>
                <w:sz w:val="24"/>
                <w:szCs w:val="24"/>
                <w:lang w:eastAsia="ru-RU"/>
              </w:rPr>
            </w:pPr>
            <w:r w:rsidRPr="00BE536E">
              <w:rPr>
                <w:bCs/>
                <w:color w:val="000000" w:themeColor="text1"/>
                <w:sz w:val="24"/>
                <w:szCs w:val="24"/>
                <w:lang w:eastAsia="ru-RU"/>
              </w:rPr>
              <w:t xml:space="preserve"> Справедливая стоимость валюты определяется в соответствии с Приложением </w:t>
            </w:r>
            <w:r w:rsidR="000E30D2" w:rsidRPr="00BE536E">
              <w:rPr>
                <w:bCs/>
                <w:color w:val="000000" w:themeColor="text1"/>
                <w:sz w:val="24"/>
                <w:szCs w:val="24"/>
                <w:lang w:eastAsia="ru-RU"/>
              </w:rPr>
              <w:t>8</w:t>
            </w:r>
            <w:r w:rsidRPr="00BE536E">
              <w:rPr>
                <w:bCs/>
                <w:color w:val="000000" w:themeColor="text1"/>
                <w:sz w:val="24"/>
                <w:szCs w:val="24"/>
                <w:lang w:eastAsia="ru-RU"/>
              </w:rPr>
              <w:t xml:space="preserve"> , либо в соответствии с Приложением </w:t>
            </w:r>
            <w:r w:rsidR="000E30D2" w:rsidRPr="00BE536E">
              <w:rPr>
                <w:bCs/>
                <w:color w:val="000000" w:themeColor="text1"/>
                <w:sz w:val="24"/>
                <w:szCs w:val="24"/>
                <w:lang w:eastAsia="ru-RU"/>
              </w:rPr>
              <w:t>1</w:t>
            </w:r>
            <w:r w:rsidR="00F776DF">
              <w:rPr>
                <w:bCs/>
                <w:color w:val="000000" w:themeColor="text1"/>
                <w:sz w:val="24"/>
                <w:szCs w:val="24"/>
                <w:lang w:eastAsia="ru-RU"/>
              </w:rPr>
              <w:t>5</w:t>
            </w:r>
            <w:r w:rsidRPr="00BE536E">
              <w:rPr>
                <w:bCs/>
                <w:color w:val="000000" w:themeColor="text1"/>
                <w:sz w:val="24"/>
                <w:szCs w:val="24"/>
                <w:lang w:eastAsia="ru-RU"/>
              </w:rPr>
              <w:t xml:space="preserve">. </w:t>
            </w:r>
          </w:p>
        </w:tc>
      </w:tr>
      <w:tr w:rsidR="001575DF" w:rsidRPr="00BE536E" w14:paraId="3912247C" w14:textId="77777777" w:rsidTr="00C819D7">
        <w:trPr>
          <w:trHeight w:val="1801"/>
        </w:trPr>
        <w:tc>
          <w:tcPr>
            <w:tcW w:w="1060" w:type="pct"/>
            <w:shd w:val="clear" w:color="auto" w:fill="A6A6A6" w:themeFill="background1" w:themeFillShade="A6"/>
          </w:tcPr>
          <w:p w14:paraId="426783F5" w14:textId="77777777" w:rsidR="001575DF" w:rsidRPr="00BE536E" w:rsidRDefault="001575DF" w:rsidP="00C819D7">
            <w:pPr>
              <w:autoSpaceDN w:val="0"/>
              <w:adjustRightInd w:val="0"/>
              <w:rPr>
                <w:b/>
                <w:bCs/>
                <w:color w:val="000000" w:themeColor="text1"/>
                <w:sz w:val="24"/>
                <w:szCs w:val="24"/>
                <w:lang w:eastAsia="ru-RU"/>
              </w:rPr>
            </w:pPr>
            <w:r w:rsidRPr="00BE536E">
              <w:rPr>
                <w:rFonts w:ascii="Verdana" w:hAnsi="Verdana"/>
                <w:i/>
                <w:sz w:val="20"/>
                <w:szCs w:val="20"/>
              </w:rPr>
              <w:t>Дата и события, приводящие к обесценению</w:t>
            </w:r>
          </w:p>
        </w:tc>
        <w:tc>
          <w:tcPr>
            <w:tcW w:w="3940" w:type="pct"/>
          </w:tcPr>
          <w:p w14:paraId="183E382E" w14:textId="77777777" w:rsidR="001575DF" w:rsidRPr="00BE536E" w:rsidRDefault="001575DF" w:rsidP="00D05311">
            <w:pPr>
              <w:numPr>
                <w:ilvl w:val="0"/>
                <w:numId w:val="67"/>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Справедливая стоимость </w:t>
            </w:r>
            <w:r w:rsidRPr="00BE536E">
              <w:rPr>
                <w:color w:val="000000" w:themeColor="text1"/>
                <w:sz w:val="24"/>
                <w:szCs w:val="24"/>
                <w:lang w:eastAsia="ru-RU"/>
              </w:rPr>
              <w:t xml:space="preserve">долговых ценных бумаг/НФИ признается равной 0 (Ноль) с даты полного погашения номинала в соответствии с условиями выпуска ценных бумаг/НФИ; </w:t>
            </w:r>
          </w:p>
          <w:p w14:paraId="25FDFEF3" w14:textId="77777777" w:rsidR="001575DF" w:rsidRPr="00BE536E" w:rsidRDefault="001575DF" w:rsidP="00D05311">
            <w:pPr>
              <w:numPr>
                <w:ilvl w:val="0"/>
                <w:numId w:val="67"/>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Справедливая стоимость </w:t>
            </w:r>
            <w:r w:rsidRPr="00BE536E">
              <w:rPr>
                <w:color w:val="000000" w:themeColor="text1"/>
                <w:sz w:val="24"/>
                <w:szCs w:val="24"/>
                <w:lang w:eastAsia="ru-RU"/>
              </w:rPr>
              <w:t>долговых ценных бумаг/НФИ признается равной 0 (Ноль) с даты получения денежных средств в счет полного исполнения обязательств по досрочному погашению ценной бумаги/НФИ;</w:t>
            </w:r>
          </w:p>
          <w:p w14:paraId="1C2A79A2" w14:textId="77777777" w:rsidR="001575DF" w:rsidRPr="00BE536E" w:rsidRDefault="001575DF" w:rsidP="00D05311">
            <w:pPr>
              <w:numPr>
                <w:ilvl w:val="0"/>
                <w:numId w:val="67"/>
              </w:numPr>
              <w:suppressAutoHyphens/>
              <w:autoSpaceDE w:val="0"/>
              <w:autoSpaceDN w:val="0"/>
              <w:adjustRightInd w:val="0"/>
              <w:spacing w:after="0" w:line="240" w:lineRule="auto"/>
              <w:jc w:val="both"/>
              <w:rPr>
                <w:color w:val="000000" w:themeColor="text1"/>
                <w:sz w:val="24"/>
                <w:szCs w:val="24"/>
                <w:lang w:eastAsia="ru-RU"/>
              </w:rPr>
            </w:pPr>
            <w:r w:rsidRPr="00BE536E">
              <w:rPr>
                <w:color w:val="000000" w:themeColor="text1"/>
                <w:sz w:val="24"/>
                <w:szCs w:val="24"/>
                <w:lang w:eastAsia="ru-RU"/>
              </w:rPr>
              <w:t>Справедливая стоимость ценных бумаг/НФИ признаётся равной 0 (Ноль)  в случае введения  процедуры банкротства в отношении их эмитента (лица, обязанного по ценной бумаге)– с даты официального опубликования сообщения о введении процедуры банкротства, за исключением случаев наличия рыночных котировок этих бумаг либо отчета оценщика на дату после даты  введения процедуры банкротства и не ранее 6 мес. до даты расчета СЧА.</w:t>
            </w:r>
          </w:p>
          <w:p w14:paraId="24890F06" w14:textId="77777777" w:rsidR="001575DF" w:rsidRPr="00BE536E" w:rsidRDefault="001575DF" w:rsidP="00D05311">
            <w:pPr>
              <w:numPr>
                <w:ilvl w:val="0"/>
                <w:numId w:val="67"/>
              </w:numPr>
              <w:suppressAutoHyphens/>
              <w:autoSpaceDE w:val="0"/>
              <w:autoSpaceDN w:val="0"/>
              <w:adjustRightInd w:val="0"/>
              <w:spacing w:after="0" w:line="240" w:lineRule="auto"/>
              <w:jc w:val="both"/>
              <w:rPr>
                <w:color w:val="000000" w:themeColor="text1"/>
                <w:sz w:val="24"/>
                <w:szCs w:val="24"/>
                <w:lang w:eastAsia="ru-RU"/>
              </w:rPr>
            </w:pPr>
            <w:r w:rsidRPr="00BE536E">
              <w:rPr>
                <w:bCs/>
                <w:sz w:val="24"/>
                <w:szCs w:val="24"/>
              </w:rPr>
              <w:lastRenderedPageBreak/>
              <w:t xml:space="preserve">При возникновении признаков обесценения справедливая стоимость </w:t>
            </w:r>
            <w:r w:rsidRPr="00BE536E">
              <w:rPr>
                <w:bCs/>
                <w:color w:val="000000" w:themeColor="text1"/>
                <w:sz w:val="24"/>
                <w:szCs w:val="24"/>
                <w:lang w:eastAsia="ru-RU"/>
              </w:rPr>
              <w:t>депозитных сертификатов</w:t>
            </w:r>
            <w:r w:rsidRPr="00BE536E">
              <w:rPr>
                <w:bCs/>
                <w:sz w:val="24"/>
                <w:szCs w:val="24"/>
              </w:rPr>
              <w:t xml:space="preserve"> корректируется в соответствии с  Приложением 5.</w:t>
            </w:r>
          </w:p>
        </w:tc>
      </w:tr>
    </w:tbl>
    <w:p w14:paraId="080E7195" w14:textId="77777777" w:rsidR="00993C82" w:rsidRPr="00BE536E" w:rsidRDefault="00993C82" w:rsidP="00274EE4">
      <w:pPr>
        <w:spacing w:after="0"/>
        <w:jc w:val="center"/>
        <w:rPr>
          <w:rFonts w:ascii="Verdana" w:hAnsi="Verdana" w:cs="Arial"/>
          <w:b/>
        </w:rPr>
        <w:sectPr w:rsidR="00993C82" w:rsidRPr="00BE536E" w:rsidSect="003C31C1">
          <w:pgSz w:w="12240" w:h="15840"/>
          <w:pgMar w:top="1134" w:right="709" w:bottom="992" w:left="1701" w:header="720" w:footer="720" w:gutter="0"/>
          <w:cols w:space="720"/>
          <w:noEndnote/>
          <w:docGrid w:linePitch="360"/>
        </w:sectPr>
      </w:pPr>
    </w:p>
    <w:p w14:paraId="2D280E03" w14:textId="78F3D5C7" w:rsidR="000E7421" w:rsidRPr="00BE536E" w:rsidRDefault="00D704B3" w:rsidP="00274EE4">
      <w:pPr>
        <w:pStyle w:val="10"/>
        <w:numPr>
          <w:ilvl w:val="0"/>
          <w:numId w:val="0"/>
        </w:numPr>
        <w:jc w:val="left"/>
        <w:rPr>
          <w:rFonts w:ascii="Verdana" w:hAnsi="Verdana" w:cs="Arial"/>
          <w:bCs w:val="0"/>
          <w:iCs w:val="0"/>
          <w:caps/>
          <w:smallCaps w:val="0"/>
          <w:color w:val="943634"/>
          <w:sz w:val="24"/>
        </w:rPr>
      </w:pPr>
      <w:bookmarkStart w:id="24" w:name="_Toc27400769"/>
      <w:r w:rsidRPr="00BE536E">
        <w:rPr>
          <w:rFonts w:ascii="Verdana" w:hAnsi="Verdana" w:cs="Arial"/>
          <w:b w:val="0"/>
          <w:bCs w:val="0"/>
          <w:iCs w:val="0"/>
          <w:caps/>
          <w:smallCaps w:val="0"/>
          <w:color w:val="943634"/>
          <w:sz w:val="24"/>
        </w:rPr>
        <w:lastRenderedPageBreak/>
        <w:t xml:space="preserve">Приложение </w:t>
      </w:r>
      <w:r w:rsidR="00951A90" w:rsidRPr="00BE536E">
        <w:rPr>
          <w:rFonts w:ascii="Verdana" w:hAnsi="Verdana" w:cs="Arial"/>
          <w:b w:val="0"/>
          <w:bCs w:val="0"/>
          <w:iCs w:val="0"/>
          <w:caps/>
          <w:smallCaps w:val="0"/>
          <w:color w:val="943634"/>
          <w:sz w:val="24"/>
        </w:rPr>
        <w:t>1</w:t>
      </w:r>
      <w:r w:rsidR="00B831EB" w:rsidRPr="00BE536E">
        <w:rPr>
          <w:rFonts w:ascii="Verdana" w:hAnsi="Verdana" w:cs="Arial"/>
          <w:b w:val="0"/>
          <w:bCs w:val="0"/>
          <w:iCs w:val="0"/>
          <w:caps/>
          <w:smallCaps w:val="0"/>
          <w:color w:val="943634"/>
          <w:sz w:val="24"/>
        </w:rPr>
        <w:t>1</w:t>
      </w:r>
      <w:r w:rsidRPr="00BE536E">
        <w:rPr>
          <w:rFonts w:ascii="Verdana" w:hAnsi="Verdana" w:cs="Arial"/>
          <w:b w:val="0"/>
          <w:bCs w:val="0"/>
          <w:iCs w:val="0"/>
          <w:caps/>
          <w:smallCaps w:val="0"/>
          <w:color w:val="943634"/>
          <w:sz w:val="24"/>
        </w:rPr>
        <w:t xml:space="preserve">. </w:t>
      </w:r>
      <w:r w:rsidR="00F30160" w:rsidRPr="00BE536E">
        <w:rPr>
          <w:rFonts w:ascii="Verdana" w:hAnsi="Verdana" w:cs="Arial"/>
          <w:bCs w:val="0"/>
          <w:iCs w:val="0"/>
          <w:caps/>
          <w:smallCaps w:val="0"/>
          <w:color w:val="943634"/>
          <w:sz w:val="24"/>
        </w:rPr>
        <w:t>Дебиторская задолженность по процентному (купонному) доходу, частичному</w:t>
      </w:r>
      <w:r w:rsidRPr="00BE536E">
        <w:rPr>
          <w:rFonts w:ascii="Verdana" w:hAnsi="Verdana" w:cs="Arial"/>
          <w:bCs w:val="0"/>
          <w:iCs w:val="0"/>
          <w:caps/>
          <w:smallCaps w:val="0"/>
          <w:color w:val="943634"/>
          <w:sz w:val="24"/>
        </w:rPr>
        <w:t xml:space="preserve"> </w:t>
      </w:r>
      <w:r w:rsidR="00F30160" w:rsidRPr="00BE536E">
        <w:rPr>
          <w:rFonts w:ascii="Verdana" w:hAnsi="Verdana" w:cs="Arial"/>
          <w:bCs w:val="0"/>
          <w:iCs w:val="0"/>
          <w:caps/>
          <w:smallCaps w:val="0"/>
          <w:color w:val="943634"/>
          <w:sz w:val="24"/>
        </w:rPr>
        <w:t>/</w:t>
      </w:r>
      <w:r w:rsidRPr="00BE536E">
        <w:rPr>
          <w:rFonts w:ascii="Verdana" w:hAnsi="Verdana" w:cs="Arial"/>
          <w:bCs w:val="0"/>
          <w:iCs w:val="0"/>
          <w:caps/>
          <w:smallCaps w:val="0"/>
          <w:color w:val="943634"/>
          <w:sz w:val="24"/>
        </w:rPr>
        <w:t xml:space="preserve"> </w:t>
      </w:r>
      <w:r w:rsidR="00F30160" w:rsidRPr="00BE536E">
        <w:rPr>
          <w:rFonts w:ascii="Verdana" w:hAnsi="Verdana" w:cs="Arial"/>
          <w:bCs w:val="0"/>
          <w:iCs w:val="0"/>
          <w:caps/>
          <w:smallCaps w:val="0"/>
          <w:color w:val="943634"/>
          <w:sz w:val="24"/>
        </w:rPr>
        <w:t>полному погашению эмитентом основного долга по долговым ценным бумагам</w:t>
      </w:r>
      <w:bookmarkEnd w:id="24"/>
      <w:r w:rsidR="000E7421" w:rsidRPr="00BE536E">
        <w:rPr>
          <w:rFonts w:ascii="Verdana" w:hAnsi="Verdana" w:cs="Arial"/>
          <w:bCs w:val="0"/>
          <w:iCs w:val="0"/>
          <w:caps/>
          <w:smallCaps w:val="0"/>
          <w:color w:val="943634"/>
          <w:sz w:val="24"/>
        </w:rPr>
        <w:t xml:space="preserve"> </w:t>
      </w:r>
      <w:r w:rsidR="002C466B" w:rsidRPr="00BE536E">
        <w:rPr>
          <w:rFonts w:ascii="Verdana" w:hAnsi="Verdana" w:cs="Arial"/>
          <w:bCs w:val="0"/>
          <w:iCs w:val="0"/>
          <w:caps/>
          <w:smallCaps w:val="0"/>
          <w:color w:val="943634"/>
          <w:sz w:val="24"/>
        </w:rPr>
        <w:tab/>
      </w:r>
    </w:p>
    <w:tbl>
      <w:tblPr>
        <w:tblW w:w="9752" w:type="dxa"/>
        <w:tblInd w:w="137"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381"/>
        <w:gridCol w:w="7371"/>
      </w:tblGrid>
      <w:tr w:rsidR="00861078" w:rsidRPr="00BE536E" w14:paraId="021246A1"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74AE5B5C"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Виды активов</w:t>
            </w:r>
          </w:p>
        </w:tc>
        <w:tc>
          <w:tcPr>
            <w:tcW w:w="7371" w:type="dxa"/>
            <w:tcBorders>
              <w:top w:val="single" w:sz="4" w:space="0" w:color="C00000"/>
              <w:left w:val="single" w:sz="4" w:space="0" w:color="C00000"/>
              <w:bottom w:val="single" w:sz="4" w:space="0" w:color="C00000"/>
              <w:right w:val="single" w:sz="4" w:space="0" w:color="C00000"/>
            </w:tcBorders>
          </w:tcPr>
          <w:p w14:paraId="5FF3C331" w14:textId="77777777" w:rsidR="00861078" w:rsidRPr="00BE536E" w:rsidRDefault="00861078" w:rsidP="00D05311">
            <w:pPr>
              <w:numPr>
                <w:ilvl w:val="0"/>
                <w:numId w:val="28"/>
              </w:numPr>
              <w:spacing w:after="0" w:line="240" w:lineRule="auto"/>
              <w:ind w:left="317" w:hanging="283"/>
              <w:rPr>
                <w:rFonts w:ascii="Verdana" w:eastAsia="Times New Roman" w:hAnsi="Verdana"/>
                <w:sz w:val="20"/>
                <w:szCs w:val="20"/>
                <w:lang w:eastAsia="ru-RU"/>
              </w:rPr>
            </w:pPr>
            <w:r w:rsidRPr="00BE536E">
              <w:rPr>
                <w:rFonts w:ascii="Verdana" w:eastAsia="Times New Roman" w:hAnsi="Verdana"/>
                <w:sz w:val="20"/>
                <w:szCs w:val="20"/>
                <w:lang w:eastAsia="ru-RU"/>
              </w:rPr>
              <w:t xml:space="preserve">Дебиторская задолженность по процентному (купонному) доходу по долговым ценным бумагам; </w:t>
            </w:r>
          </w:p>
          <w:p w14:paraId="259428DC" w14:textId="77777777" w:rsidR="00861078" w:rsidRPr="00BE536E" w:rsidRDefault="00861078" w:rsidP="00D05311">
            <w:pPr>
              <w:numPr>
                <w:ilvl w:val="0"/>
                <w:numId w:val="28"/>
              </w:numPr>
              <w:spacing w:after="0" w:line="240" w:lineRule="auto"/>
              <w:ind w:left="317" w:hanging="283"/>
              <w:rPr>
                <w:rFonts w:ascii="Verdana" w:eastAsia="Times New Roman" w:hAnsi="Verdana"/>
                <w:sz w:val="20"/>
                <w:szCs w:val="20"/>
                <w:lang w:eastAsia="ru-RU"/>
              </w:rPr>
            </w:pPr>
            <w:r w:rsidRPr="00BE536E">
              <w:rPr>
                <w:rFonts w:ascii="Verdana" w:eastAsia="Times New Roman" w:hAnsi="Verdana"/>
                <w:sz w:val="20"/>
                <w:szCs w:val="20"/>
                <w:lang w:eastAsia="ru-RU"/>
              </w:rPr>
              <w:t xml:space="preserve">Дебиторская задолженность по частичному/полному погашению эмитентом основного долга по долговым ценным бумагам. </w:t>
            </w:r>
          </w:p>
          <w:p w14:paraId="3FF055A4" w14:textId="77777777" w:rsidR="00861078" w:rsidRPr="00BE536E" w:rsidRDefault="00861078" w:rsidP="00861078">
            <w:pPr>
              <w:jc w:val="both"/>
              <w:rPr>
                <w:rFonts w:ascii="Verdana" w:hAnsi="Verdana"/>
                <w:b/>
                <w:bCs/>
                <w:sz w:val="20"/>
                <w:szCs w:val="20"/>
              </w:rPr>
            </w:pPr>
          </w:p>
        </w:tc>
      </w:tr>
      <w:tr w:rsidR="00861078" w:rsidRPr="00BE536E" w14:paraId="0BCE5AFA"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122C3DFF"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Критерии признания</w:t>
            </w:r>
          </w:p>
        </w:tc>
        <w:tc>
          <w:tcPr>
            <w:tcW w:w="7371" w:type="dxa"/>
            <w:tcBorders>
              <w:top w:val="single" w:sz="4" w:space="0" w:color="C00000"/>
              <w:left w:val="single" w:sz="4" w:space="0" w:color="C00000"/>
              <w:bottom w:val="single" w:sz="4" w:space="0" w:color="C00000"/>
              <w:right w:val="single" w:sz="4" w:space="0" w:color="C00000"/>
            </w:tcBorders>
          </w:tcPr>
          <w:p w14:paraId="46531942" w14:textId="77777777" w:rsidR="00861078" w:rsidRPr="00BE536E" w:rsidRDefault="00861078" w:rsidP="00567222">
            <w:pPr>
              <w:numPr>
                <w:ilvl w:val="0"/>
                <w:numId w:val="10"/>
              </w:numPr>
              <w:spacing w:after="0" w:line="240" w:lineRule="auto"/>
              <w:ind w:left="317" w:hanging="276"/>
              <w:jc w:val="both"/>
              <w:rPr>
                <w:rFonts w:ascii="Verdana" w:eastAsia="Times New Roman" w:hAnsi="Verdana"/>
                <w:sz w:val="20"/>
                <w:szCs w:val="20"/>
                <w:lang w:eastAsia="ru-RU"/>
              </w:rPr>
            </w:pPr>
            <w:r w:rsidRPr="00BE536E">
              <w:rPr>
                <w:rFonts w:ascii="Verdana" w:eastAsia="Times New Roman" w:hAnsi="Verdana"/>
                <w:sz w:val="20"/>
                <w:szCs w:val="20"/>
                <w:lang w:eastAsia="ru-RU"/>
              </w:rPr>
              <w:t>Для дебиторской задолженности по процентному (купонному) доходу по долговым ценным бумагам</w:t>
            </w:r>
            <w:r w:rsidRPr="00BE536E" w:rsidDel="00F30160">
              <w:rPr>
                <w:rFonts w:ascii="Verdana" w:eastAsia="Times New Roman" w:hAnsi="Verdana"/>
                <w:sz w:val="20"/>
                <w:szCs w:val="20"/>
                <w:lang w:eastAsia="ru-RU"/>
              </w:rPr>
              <w:t xml:space="preserve"> </w:t>
            </w:r>
            <w:r w:rsidRPr="00BE536E">
              <w:rPr>
                <w:rFonts w:ascii="Verdana" w:eastAsia="Times New Roman" w:hAnsi="Verdana"/>
                <w:sz w:val="20"/>
                <w:szCs w:val="20"/>
                <w:lang w:eastAsia="ru-RU"/>
              </w:rPr>
              <w:t>- дата  наступления начала срока исполнения обязательства по выплате купонного дохода (дата окончания купонного периода) в соответствии с условиями выпуска ценной бумаги.</w:t>
            </w:r>
          </w:p>
          <w:p w14:paraId="7CFCDD9A" w14:textId="77777777" w:rsidR="00861078" w:rsidRPr="00BE536E" w:rsidRDefault="00861078" w:rsidP="00567222">
            <w:pPr>
              <w:numPr>
                <w:ilvl w:val="0"/>
                <w:numId w:val="10"/>
              </w:numPr>
              <w:spacing w:after="0" w:line="240" w:lineRule="auto"/>
              <w:ind w:left="317" w:hanging="276"/>
              <w:jc w:val="both"/>
              <w:rPr>
                <w:rFonts w:ascii="Verdana" w:eastAsia="Times New Roman" w:hAnsi="Verdana"/>
                <w:sz w:val="20"/>
                <w:szCs w:val="20"/>
                <w:lang w:eastAsia="ru-RU"/>
              </w:rPr>
            </w:pPr>
            <w:r w:rsidRPr="00BE536E">
              <w:rPr>
                <w:rFonts w:ascii="Verdana" w:eastAsia="Times New Roman" w:hAnsi="Verdana"/>
                <w:sz w:val="20"/>
                <w:szCs w:val="20"/>
                <w:lang w:eastAsia="ru-RU"/>
              </w:rPr>
              <w:t>Для дебиторской задолженности по частичному/полному погашению эмитентом основного долга по долговым ценным бумагам</w:t>
            </w:r>
            <w:r w:rsidRPr="00BE536E" w:rsidDel="00F30160">
              <w:rPr>
                <w:rFonts w:ascii="Verdana" w:eastAsia="Times New Roman" w:hAnsi="Verdana"/>
                <w:sz w:val="20"/>
                <w:szCs w:val="20"/>
                <w:lang w:eastAsia="ru-RU"/>
              </w:rPr>
              <w:t xml:space="preserve"> </w:t>
            </w:r>
            <w:r w:rsidRPr="00BE536E">
              <w:rPr>
                <w:rFonts w:ascii="Verdana" w:eastAsia="Times New Roman" w:hAnsi="Verdana"/>
                <w:sz w:val="20"/>
                <w:szCs w:val="20"/>
                <w:lang w:eastAsia="ru-RU"/>
              </w:rPr>
              <w:t>– дата частичного или полного погашения номинала на основании решения о выпуске.</w:t>
            </w:r>
          </w:p>
        </w:tc>
      </w:tr>
      <w:tr w:rsidR="00861078" w:rsidRPr="00BE536E" w14:paraId="5968DF6D"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0684F061"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Borders>
              <w:top w:val="single" w:sz="4" w:space="0" w:color="C00000"/>
              <w:left w:val="single" w:sz="4" w:space="0" w:color="C00000"/>
              <w:bottom w:val="single" w:sz="4" w:space="0" w:color="C00000"/>
              <w:right w:val="single" w:sz="4" w:space="0" w:color="C00000"/>
            </w:tcBorders>
          </w:tcPr>
          <w:p w14:paraId="35067E9F" w14:textId="77777777" w:rsidR="00861078" w:rsidRPr="00BE536E" w:rsidRDefault="00861078" w:rsidP="00567222">
            <w:pPr>
              <w:numPr>
                <w:ilvl w:val="0"/>
                <w:numId w:val="10"/>
              </w:numPr>
              <w:spacing w:after="0" w:line="240" w:lineRule="auto"/>
              <w:ind w:left="317" w:hanging="317"/>
              <w:jc w:val="both"/>
              <w:rPr>
                <w:rFonts w:ascii="Verdana" w:eastAsia="Times New Roman" w:hAnsi="Verdana"/>
                <w:sz w:val="20"/>
                <w:szCs w:val="20"/>
                <w:lang w:eastAsia="ru-RU"/>
              </w:rPr>
            </w:pPr>
            <w:r w:rsidRPr="00BE536E">
              <w:rPr>
                <w:rFonts w:ascii="Verdana" w:eastAsia="Times New Roman" w:hAnsi="Verdana"/>
                <w:sz w:val="20"/>
                <w:szCs w:val="20"/>
                <w:lang w:eastAsia="ru-RU"/>
              </w:rPr>
              <w:t>Дата исполнения  обязательств эмитентом, подтвержденной банковской выпиской с расчетного счета управляющей компании Д.У. ПИФ или отчетом брокера ПИФ;</w:t>
            </w:r>
          </w:p>
          <w:p w14:paraId="55347B3E" w14:textId="77777777" w:rsidR="00861078" w:rsidRPr="00BE536E" w:rsidRDefault="00861078" w:rsidP="00567222">
            <w:pPr>
              <w:numPr>
                <w:ilvl w:val="0"/>
                <w:numId w:val="10"/>
              </w:numPr>
              <w:spacing w:after="0" w:line="240" w:lineRule="auto"/>
              <w:ind w:left="317" w:hanging="317"/>
              <w:jc w:val="both"/>
              <w:rPr>
                <w:rFonts w:ascii="Verdana" w:eastAsia="Times New Roman" w:hAnsi="Verdana"/>
                <w:sz w:val="20"/>
                <w:szCs w:val="20"/>
                <w:lang w:eastAsia="ru-RU"/>
              </w:rPr>
            </w:pPr>
            <w:r w:rsidRPr="00BE536E">
              <w:rPr>
                <w:rFonts w:ascii="Verdana" w:eastAsia="Times New Roman" w:hAnsi="Verdana"/>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861078" w:rsidRPr="00BE536E" w14:paraId="511EF7CE"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275033A3"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 xml:space="preserve">Критерии и сроки квалификации дебиторской задолженности как   операционной </w:t>
            </w:r>
          </w:p>
        </w:tc>
        <w:tc>
          <w:tcPr>
            <w:tcW w:w="7371" w:type="dxa"/>
            <w:tcBorders>
              <w:top w:val="single" w:sz="4" w:space="0" w:color="C00000"/>
              <w:left w:val="single" w:sz="4" w:space="0" w:color="C00000"/>
              <w:bottom w:val="single" w:sz="4" w:space="0" w:color="C00000"/>
              <w:right w:val="single" w:sz="4" w:space="0" w:color="C00000"/>
            </w:tcBorders>
          </w:tcPr>
          <w:p w14:paraId="4AD9C24A" w14:textId="77777777" w:rsidR="00861078" w:rsidRPr="00BE536E" w:rsidRDefault="00861078" w:rsidP="00861078">
            <w:pPr>
              <w:rPr>
                <w:rFonts w:ascii="Verdana" w:hAnsi="Verdana"/>
                <w:b/>
                <w:bCs/>
                <w:sz w:val="20"/>
                <w:szCs w:val="20"/>
              </w:rPr>
            </w:pPr>
            <w:r w:rsidRPr="00BE536E">
              <w:rPr>
                <w:rFonts w:ascii="Verdana" w:hAnsi="Verdana"/>
                <w:sz w:val="20"/>
                <w:szCs w:val="20"/>
              </w:rPr>
              <w:t>В отсутствие признаков обесценения:</w:t>
            </w:r>
          </w:p>
          <w:p w14:paraId="1EFF7510" w14:textId="77777777" w:rsidR="00861078" w:rsidRPr="00BE536E" w:rsidRDefault="00861078" w:rsidP="00861078">
            <w:pPr>
              <w:rPr>
                <w:rFonts w:ascii="Verdana" w:hAnsi="Verdana"/>
                <w:b/>
                <w:bCs/>
                <w:sz w:val="20"/>
                <w:szCs w:val="20"/>
              </w:rPr>
            </w:pPr>
          </w:p>
          <w:p w14:paraId="493ABB08" w14:textId="77777777" w:rsidR="00861078" w:rsidRPr="00BE536E" w:rsidRDefault="00861078" w:rsidP="00D05311">
            <w:pPr>
              <w:numPr>
                <w:ilvl w:val="0"/>
                <w:numId w:val="69"/>
              </w:numPr>
              <w:spacing w:after="0" w:line="240" w:lineRule="auto"/>
              <w:ind w:left="34" w:firstLine="0"/>
              <w:jc w:val="both"/>
              <w:rPr>
                <w:rFonts w:ascii="Verdana" w:eastAsia="Times New Roman" w:hAnsi="Verdana"/>
                <w:sz w:val="20"/>
                <w:szCs w:val="20"/>
                <w:lang w:eastAsia="ru-RU"/>
              </w:rPr>
            </w:pPr>
            <w:r w:rsidRPr="00BE536E">
              <w:rPr>
                <w:rFonts w:ascii="Verdana" w:eastAsia="Times New Roman" w:hAnsi="Verdana"/>
                <w:sz w:val="20"/>
                <w:szCs w:val="20"/>
                <w:lang w:eastAsia="ru-RU"/>
              </w:rPr>
              <w:t xml:space="preserve"> В течение 7 рабочих дней с даты признания дебиторской задолженности российских эмитентов, включая задолженность эмитентов – международных корпораций;</w:t>
            </w:r>
          </w:p>
          <w:p w14:paraId="6D260209" w14:textId="77777777" w:rsidR="00861078" w:rsidRPr="00BE536E" w:rsidRDefault="00861078" w:rsidP="00D05311">
            <w:pPr>
              <w:numPr>
                <w:ilvl w:val="0"/>
                <w:numId w:val="69"/>
              </w:numPr>
              <w:spacing w:after="0" w:line="240" w:lineRule="auto"/>
              <w:ind w:left="34" w:firstLine="0"/>
              <w:jc w:val="both"/>
              <w:rPr>
                <w:rFonts w:ascii="Verdana" w:eastAsia="Times New Roman" w:hAnsi="Verdana"/>
                <w:sz w:val="20"/>
                <w:szCs w:val="20"/>
                <w:lang w:eastAsia="ru-RU"/>
              </w:rPr>
            </w:pPr>
            <w:r w:rsidRPr="00BE536E">
              <w:rPr>
                <w:rFonts w:ascii="Verdana" w:eastAsia="Times New Roman" w:hAnsi="Verdana"/>
                <w:sz w:val="20"/>
                <w:szCs w:val="20"/>
                <w:lang w:eastAsia="ru-RU"/>
              </w:rPr>
              <w:t xml:space="preserve"> В течение 10 рабочих дней с даты признания дебиторской задолженности иностранных эмитентов. </w:t>
            </w:r>
          </w:p>
          <w:p w14:paraId="66291531" w14:textId="77777777" w:rsidR="00861078" w:rsidRPr="00BE536E" w:rsidRDefault="00861078" w:rsidP="00861078">
            <w:pPr>
              <w:rPr>
                <w:rFonts w:ascii="Verdana" w:hAnsi="Verdana"/>
                <w:b/>
                <w:bCs/>
                <w:sz w:val="20"/>
                <w:szCs w:val="20"/>
              </w:rPr>
            </w:pPr>
          </w:p>
        </w:tc>
      </w:tr>
      <w:tr w:rsidR="00861078" w:rsidRPr="00BE536E" w14:paraId="08D71AB9"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2C156F1B"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Borders>
              <w:top w:val="single" w:sz="4" w:space="0" w:color="C00000"/>
              <w:left w:val="single" w:sz="4" w:space="0" w:color="C00000"/>
              <w:bottom w:val="single" w:sz="4" w:space="0" w:color="C00000"/>
              <w:right w:val="single" w:sz="4" w:space="0" w:color="C00000"/>
            </w:tcBorders>
          </w:tcPr>
          <w:p w14:paraId="4D542D68" w14:textId="77777777" w:rsidR="00861078" w:rsidRPr="00BE536E" w:rsidRDefault="00861078" w:rsidP="00861078">
            <w:pPr>
              <w:rPr>
                <w:rFonts w:ascii="Verdana" w:hAnsi="Verdana"/>
                <w:b/>
                <w:bCs/>
                <w:sz w:val="20"/>
                <w:szCs w:val="20"/>
              </w:rPr>
            </w:pPr>
            <w:r w:rsidRPr="00BE536E">
              <w:rPr>
                <w:rFonts w:ascii="Verdana" w:hAnsi="Verdana"/>
                <w:sz w:val="20"/>
                <w:szCs w:val="20"/>
              </w:rPr>
              <w:t>В течение всего срока признания дебиторской задолженности операционной:</w:t>
            </w:r>
          </w:p>
          <w:p w14:paraId="315EDD60" w14:textId="77777777" w:rsidR="00861078" w:rsidRPr="00BE536E" w:rsidRDefault="00861078" w:rsidP="00D05311">
            <w:pPr>
              <w:numPr>
                <w:ilvl w:val="0"/>
                <w:numId w:val="70"/>
              </w:numPr>
              <w:spacing w:after="0" w:line="240" w:lineRule="auto"/>
              <w:jc w:val="both"/>
              <w:rPr>
                <w:rFonts w:ascii="Verdana" w:eastAsia="Times New Roman" w:hAnsi="Verdana"/>
                <w:sz w:val="20"/>
                <w:szCs w:val="20"/>
                <w:lang w:eastAsia="ru-RU"/>
              </w:rPr>
            </w:pPr>
            <w:r w:rsidRPr="00BE536E">
              <w:rPr>
                <w:rFonts w:ascii="Verdana" w:eastAsia="Times New Roman" w:hAnsi="Verdana"/>
                <w:sz w:val="20"/>
                <w:szCs w:val="20"/>
                <w:lang w:eastAsia="ru-RU"/>
              </w:rPr>
              <w:t xml:space="preserve">Оценка справедливой стоимости дебиторской задолженности по процентному (купонному) доходу по долговым ценным бумагам определяется в размере, определенном на дату наступления срока исполнения соответствующего обязательства (дату истечения купонного периода) в соответствии с условиями выпуска ценной бумаги, и исходя из количества ценных бумаг на дату наступления указанного срока. </w:t>
            </w:r>
          </w:p>
          <w:p w14:paraId="1F5F899D" w14:textId="77777777" w:rsidR="00861078" w:rsidRPr="00BE536E" w:rsidRDefault="00861078" w:rsidP="00861078">
            <w:pPr>
              <w:rPr>
                <w:rFonts w:ascii="Verdana" w:hAnsi="Verdana"/>
                <w:b/>
                <w:bCs/>
                <w:sz w:val="20"/>
                <w:szCs w:val="20"/>
              </w:rPr>
            </w:pPr>
            <w:r w:rsidRPr="00BE536E">
              <w:rPr>
                <w:rFonts w:ascii="Verdana" w:hAnsi="Verdana"/>
                <w:sz w:val="20"/>
                <w:szCs w:val="20"/>
              </w:rPr>
              <w:t xml:space="preserve">Оценка справедливой стоимости дебиторской задолженности по частичному/полному погашению эмитентом основного долга по </w:t>
            </w:r>
            <w:r w:rsidRPr="00BE536E">
              <w:rPr>
                <w:rFonts w:ascii="Verdana" w:hAnsi="Verdana"/>
                <w:sz w:val="20"/>
                <w:szCs w:val="20"/>
              </w:rPr>
              <w:lastRenderedPageBreak/>
              <w:t xml:space="preserve">долговым ценным бумагам определяется в размере, определенном на дату наступления срока исполнения соответствующего обязательства в соответствии с условиями выпуска ценной бумаги, и исходя из количества ценных бумаг на дату наступления указанного срока. </w:t>
            </w:r>
          </w:p>
          <w:p w14:paraId="2F2F086E" w14:textId="77777777" w:rsidR="00861078" w:rsidRPr="00BE536E" w:rsidRDefault="00861078" w:rsidP="00861078">
            <w:pPr>
              <w:rPr>
                <w:rFonts w:ascii="Verdana" w:hAnsi="Verdana"/>
                <w:b/>
                <w:bCs/>
                <w:sz w:val="20"/>
                <w:szCs w:val="20"/>
              </w:rPr>
            </w:pPr>
          </w:p>
          <w:p w14:paraId="3A6326DF" w14:textId="77777777" w:rsidR="00861078" w:rsidRPr="00BE536E" w:rsidRDefault="00861078" w:rsidP="00861078">
            <w:pPr>
              <w:rPr>
                <w:rFonts w:ascii="Verdana" w:hAnsi="Verdana"/>
                <w:b/>
                <w:bCs/>
                <w:sz w:val="20"/>
                <w:szCs w:val="20"/>
              </w:rPr>
            </w:pPr>
            <w:r w:rsidRPr="00BE536E">
              <w:rPr>
                <w:rFonts w:ascii="Verdana" w:hAnsi="Verdana"/>
                <w:sz w:val="20"/>
                <w:szCs w:val="20"/>
              </w:rPr>
              <w:t xml:space="preserve">По истечении срока квалификации дебиторской задолженности по процентному (купонному) доходу, а также по частичному/полному погашению эмитентом основного долга по долговым ценным бумагам как операционной, справедливая стоимость непогашенной задолженности определяется в соответствии с Приложением </w:t>
            </w:r>
            <w:r w:rsidR="006700EB" w:rsidRPr="00BE536E">
              <w:rPr>
                <w:rFonts w:ascii="Verdana" w:hAnsi="Verdana"/>
                <w:sz w:val="20"/>
                <w:szCs w:val="20"/>
              </w:rPr>
              <w:t>5</w:t>
            </w:r>
            <w:r w:rsidRPr="00BE536E">
              <w:rPr>
                <w:rFonts w:ascii="Verdana" w:hAnsi="Verdana"/>
                <w:sz w:val="20"/>
                <w:szCs w:val="20"/>
              </w:rPr>
              <w:t>.</w:t>
            </w:r>
          </w:p>
        </w:tc>
      </w:tr>
      <w:tr w:rsidR="00861078" w:rsidRPr="00BE536E" w14:paraId="5A6DF200"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3F28D94A"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lastRenderedPageBreak/>
              <w:t xml:space="preserve">Дата и события, приводящие к обесценению </w:t>
            </w:r>
          </w:p>
        </w:tc>
        <w:tc>
          <w:tcPr>
            <w:tcW w:w="7371" w:type="dxa"/>
            <w:tcBorders>
              <w:top w:val="single" w:sz="4" w:space="0" w:color="C00000"/>
              <w:left w:val="single" w:sz="4" w:space="0" w:color="C00000"/>
              <w:bottom w:val="single" w:sz="4" w:space="0" w:color="C00000"/>
              <w:right w:val="single" w:sz="4" w:space="0" w:color="C00000"/>
            </w:tcBorders>
          </w:tcPr>
          <w:p w14:paraId="1D24BA8F" w14:textId="77777777" w:rsidR="00861078" w:rsidRPr="00BE536E" w:rsidRDefault="00861078" w:rsidP="00861078">
            <w:pPr>
              <w:rPr>
                <w:rFonts w:ascii="Verdana" w:hAnsi="Verdana"/>
                <w:b/>
                <w:bCs/>
                <w:sz w:val="20"/>
                <w:szCs w:val="20"/>
              </w:rPr>
            </w:pPr>
          </w:p>
          <w:p w14:paraId="2515CF27" w14:textId="77777777" w:rsidR="00861078" w:rsidRPr="00BE536E" w:rsidRDefault="00861078" w:rsidP="00861078">
            <w:pPr>
              <w:rPr>
                <w:rFonts w:ascii="Verdana" w:hAnsi="Verdana"/>
                <w:b/>
                <w:bCs/>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50B8BE6B" w14:textId="77777777" w:rsidR="00861078" w:rsidRPr="00BE536E" w:rsidRDefault="00861078" w:rsidP="00861078">
            <w:pPr>
              <w:rPr>
                <w:rFonts w:ascii="Verdana" w:hAnsi="Verdana"/>
                <w:b/>
                <w:bCs/>
                <w:sz w:val="20"/>
                <w:szCs w:val="20"/>
              </w:rPr>
            </w:pPr>
          </w:p>
        </w:tc>
      </w:tr>
    </w:tbl>
    <w:p w14:paraId="46E9CFC1" w14:textId="77777777" w:rsidR="003950C6" w:rsidRPr="00BE536E" w:rsidRDefault="003950C6" w:rsidP="00851E74">
      <w:pPr>
        <w:spacing w:line="360" w:lineRule="auto"/>
        <w:ind w:firstLine="720"/>
        <w:jc w:val="both"/>
        <w:rPr>
          <w:rFonts w:ascii="Verdana" w:hAnsi="Verdana"/>
        </w:rPr>
      </w:pPr>
    </w:p>
    <w:p w14:paraId="12D3EC38" w14:textId="77777777" w:rsidR="008B1112" w:rsidRPr="00BE536E" w:rsidRDefault="008B1112" w:rsidP="00851E74">
      <w:pPr>
        <w:spacing w:line="360" w:lineRule="auto"/>
        <w:ind w:firstLine="720"/>
        <w:jc w:val="both"/>
        <w:rPr>
          <w:rFonts w:ascii="Verdana" w:hAnsi="Verdana"/>
        </w:rPr>
      </w:pPr>
    </w:p>
    <w:p w14:paraId="6719D04C" w14:textId="77777777" w:rsidR="008B1112" w:rsidRPr="00BE536E" w:rsidRDefault="008B1112" w:rsidP="00851E74">
      <w:pPr>
        <w:spacing w:line="360" w:lineRule="auto"/>
        <w:ind w:firstLine="720"/>
        <w:jc w:val="both"/>
        <w:rPr>
          <w:rFonts w:ascii="Verdana" w:hAnsi="Verdana"/>
        </w:rPr>
      </w:pPr>
    </w:p>
    <w:p w14:paraId="6458D70A" w14:textId="77777777" w:rsidR="008B1112" w:rsidRPr="00BE536E" w:rsidRDefault="008B1112" w:rsidP="00851E74">
      <w:pPr>
        <w:spacing w:line="360" w:lineRule="auto"/>
        <w:ind w:firstLine="720"/>
        <w:jc w:val="both"/>
        <w:rPr>
          <w:rFonts w:ascii="Verdana" w:hAnsi="Verdana"/>
        </w:rPr>
      </w:pPr>
    </w:p>
    <w:p w14:paraId="3F3E75E5" w14:textId="77777777" w:rsidR="008B1112" w:rsidRPr="00BE536E" w:rsidRDefault="008B1112" w:rsidP="00851E74">
      <w:pPr>
        <w:spacing w:line="360" w:lineRule="auto"/>
        <w:ind w:firstLine="720"/>
        <w:jc w:val="both"/>
        <w:rPr>
          <w:rFonts w:ascii="Verdana" w:hAnsi="Verdana"/>
        </w:rPr>
      </w:pPr>
    </w:p>
    <w:p w14:paraId="5A3DB52C" w14:textId="77777777" w:rsidR="008B1112" w:rsidRPr="00BE536E" w:rsidRDefault="008B1112" w:rsidP="00851E74">
      <w:pPr>
        <w:spacing w:line="360" w:lineRule="auto"/>
        <w:ind w:firstLine="720"/>
        <w:jc w:val="both"/>
        <w:rPr>
          <w:rFonts w:ascii="Verdana" w:hAnsi="Verdana"/>
        </w:rPr>
      </w:pPr>
    </w:p>
    <w:p w14:paraId="0C5C30CE" w14:textId="77777777" w:rsidR="008B1112" w:rsidRPr="00BE536E" w:rsidRDefault="008B1112" w:rsidP="00851E74">
      <w:pPr>
        <w:spacing w:line="360" w:lineRule="auto"/>
        <w:ind w:firstLine="720"/>
        <w:jc w:val="both"/>
        <w:rPr>
          <w:rFonts w:ascii="Verdana" w:hAnsi="Verdana"/>
        </w:rPr>
      </w:pPr>
    </w:p>
    <w:p w14:paraId="47C8FDD1" w14:textId="77777777" w:rsidR="008B1112" w:rsidRPr="00BE536E" w:rsidRDefault="008B1112" w:rsidP="00851E74">
      <w:pPr>
        <w:spacing w:line="360" w:lineRule="auto"/>
        <w:ind w:firstLine="720"/>
        <w:jc w:val="both"/>
        <w:rPr>
          <w:rFonts w:ascii="Verdana" w:hAnsi="Verdana"/>
        </w:rPr>
      </w:pPr>
    </w:p>
    <w:p w14:paraId="04BE107F" w14:textId="77777777" w:rsidR="008B1112" w:rsidRPr="00BE536E" w:rsidRDefault="008B1112" w:rsidP="00851E74">
      <w:pPr>
        <w:spacing w:line="360" w:lineRule="auto"/>
        <w:ind w:firstLine="720"/>
        <w:jc w:val="both"/>
        <w:rPr>
          <w:rFonts w:ascii="Verdana" w:hAnsi="Verdana"/>
        </w:rPr>
      </w:pPr>
    </w:p>
    <w:p w14:paraId="0A8B9C40" w14:textId="77777777" w:rsidR="008B1112" w:rsidRPr="00BE536E" w:rsidRDefault="008B1112" w:rsidP="00851E74">
      <w:pPr>
        <w:spacing w:line="360" w:lineRule="auto"/>
        <w:ind w:firstLine="720"/>
        <w:jc w:val="both"/>
        <w:rPr>
          <w:rFonts w:ascii="Verdana" w:hAnsi="Verdana"/>
        </w:rPr>
      </w:pPr>
    </w:p>
    <w:p w14:paraId="28F5FB00" w14:textId="77777777" w:rsidR="00171B07" w:rsidRPr="00BE536E" w:rsidRDefault="00171B07" w:rsidP="00851E74">
      <w:pPr>
        <w:spacing w:line="360" w:lineRule="auto"/>
        <w:ind w:firstLine="720"/>
        <w:jc w:val="both"/>
        <w:rPr>
          <w:rFonts w:ascii="Verdana" w:hAnsi="Verdana"/>
        </w:rPr>
      </w:pPr>
    </w:p>
    <w:p w14:paraId="7FAAE7DE" w14:textId="77777777" w:rsidR="00171B07" w:rsidRPr="00BE536E" w:rsidRDefault="00171B07" w:rsidP="00851E74">
      <w:pPr>
        <w:spacing w:line="360" w:lineRule="auto"/>
        <w:ind w:firstLine="720"/>
        <w:jc w:val="both"/>
        <w:rPr>
          <w:rFonts w:ascii="Verdana" w:hAnsi="Verdana"/>
        </w:rPr>
      </w:pPr>
    </w:p>
    <w:p w14:paraId="5A8E2AAE" w14:textId="77777777" w:rsidR="00274312" w:rsidRPr="00BE536E" w:rsidRDefault="00274312" w:rsidP="00D94BA7">
      <w:pPr>
        <w:spacing w:after="0"/>
        <w:rPr>
          <w:rFonts w:ascii="Verdana" w:hAnsi="Verdana" w:cs="Arial"/>
          <w:b/>
        </w:rPr>
        <w:sectPr w:rsidR="00274312" w:rsidRPr="00BE536E" w:rsidSect="003C31C1">
          <w:pgSz w:w="12240" w:h="15840"/>
          <w:pgMar w:top="1134" w:right="709" w:bottom="992" w:left="1701" w:header="720" w:footer="720" w:gutter="0"/>
          <w:cols w:space="720"/>
          <w:noEndnote/>
          <w:docGrid w:linePitch="360"/>
        </w:sectPr>
      </w:pPr>
    </w:p>
    <w:p w14:paraId="1B0838F1" w14:textId="562BE9C5" w:rsidR="00CF2747" w:rsidRPr="00BE536E" w:rsidRDefault="00D704B3" w:rsidP="006D31CD">
      <w:pPr>
        <w:pStyle w:val="10"/>
        <w:numPr>
          <w:ilvl w:val="0"/>
          <w:numId w:val="0"/>
        </w:numPr>
        <w:ind w:left="432"/>
        <w:jc w:val="left"/>
        <w:rPr>
          <w:rFonts w:ascii="Verdana" w:hAnsi="Verdana" w:cs="Arial"/>
          <w:bCs w:val="0"/>
          <w:iCs w:val="0"/>
          <w:caps/>
          <w:smallCaps w:val="0"/>
          <w:color w:val="943634"/>
          <w:sz w:val="24"/>
        </w:rPr>
      </w:pPr>
      <w:bookmarkStart w:id="25" w:name="_Toc27400770"/>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12</w:t>
      </w:r>
      <w:r w:rsidRPr="00BE536E">
        <w:rPr>
          <w:rFonts w:ascii="Verdana" w:hAnsi="Verdana" w:cs="Arial"/>
          <w:b w:val="0"/>
          <w:bCs w:val="0"/>
          <w:iCs w:val="0"/>
          <w:caps/>
          <w:smallCaps w:val="0"/>
          <w:color w:val="943634"/>
          <w:sz w:val="24"/>
        </w:rPr>
        <w:t xml:space="preserve">. </w:t>
      </w:r>
      <w:r w:rsidR="00BD542B" w:rsidRPr="00BE536E">
        <w:rPr>
          <w:rFonts w:ascii="Verdana" w:hAnsi="Verdana" w:cs="Arial"/>
          <w:bCs w:val="0"/>
          <w:iCs w:val="0"/>
          <w:caps/>
          <w:smallCaps w:val="0"/>
          <w:color w:val="943634"/>
          <w:sz w:val="24"/>
        </w:rPr>
        <w:t>Дебиторская задолженность по п</w:t>
      </w:r>
      <w:r w:rsidR="00FE42BB" w:rsidRPr="00BE536E">
        <w:rPr>
          <w:rFonts w:ascii="Verdana" w:hAnsi="Verdana" w:cs="Arial"/>
          <w:bCs w:val="0"/>
          <w:iCs w:val="0"/>
          <w:caps/>
          <w:smallCaps w:val="0"/>
          <w:color w:val="943634"/>
          <w:sz w:val="24"/>
        </w:rPr>
        <w:t>роцентн</w:t>
      </w:r>
      <w:r w:rsidR="00BD542B" w:rsidRPr="00BE536E">
        <w:rPr>
          <w:rFonts w:ascii="Verdana" w:hAnsi="Verdana" w:cs="Arial"/>
          <w:bCs w:val="0"/>
          <w:iCs w:val="0"/>
          <w:caps/>
          <w:smallCaps w:val="0"/>
          <w:color w:val="943634"/>
          <w:sz w:val="24"/>
        </w:rPr>
        <w:t>ому</w:t>
      </w:r>
      <w:r w:rsidR="00FE42BB" w:rsidRPr="00BE536E">
        <w:rPr>
          <w:rFonts w:ascii="Verdana" w:hAnsi="Verdana" w:cs="Arial"/>
          <w:bCs w:val="0"/>
          <w:iCs w:val="0"/>
          <w:caps/>
          <w:smallCaps w:val="0"/>
          <w:color w:val="943634"/>
          <w:sz w:val="24"/>
        </w:rPr>
        <w:t xml:space="preserve"> доход</w:t>
      </w:r>
      <w:r w:rsidR="00BD542B" w:rsidRPr="00BE536E">
        <w:rPr>
          <w:rFonts w:ascii="Verdana" w:hAnsi="Verdana" w:cs="Arial"/>
          <w:bCs w:val="0"/>
          <w:iCs w:val="0"/>
          <w:caps/>
          <w:smallCaps w:val="0"/>
          <w:color w:val="943634"/>
          <w:sz w:val="24"/>
        </w:rPr>
        <w:t>у</w:t>
      </w:r>
      <w:r w:rsidR="00FE42BB" w:rsidRPr="00BE536E">
        <w:rPr>
          <w:rFonts w:ascii="Verdana" w:hAnsi="Verdana" w:cs="Arial"/>
          <w:bCs w:val="0"/>
          <w:iCs w:val="0"/>
          <w:caps/>
          <w:smallCaps w:val="0"/>
          <w:color w:val="943634"/>
          <w:sz w:val="24"/>
        </w:rPr>
        <w:t xml:space="preserve"> по денежным средствам на счетах</w:t>
      </w:r>
      <w:bookmarkEnd w:id="25"/>
      <w:r w:rsidR="00861078" w:rsidRPr="00BE536E">
        <w:rPr>
          <w:rFonts w:ascii="Verdana" w:hAnsi="Verdana" w:cs="Arial"/>
          <w:bCs w:val="0"/>
          <w:iCs w:val="0"/>
          <w:caps/>
          <w:smallCaps w:val="0"/>
          <w:color w:val="943634"/>
          <w:sz w:val="24"/>
        </w:rPr>
        <w:t xml:space="preserve"> (вкл</w:t>
      </w:r>
      <w:r w:rsidR="002A6E99" w:rsidRPr="00BE536E">
        <w:rPr>
          <w:rFonts w:ascii="Verdana" w:hAnsi="Verdana" w:cs="Arial"/>
          <w:bCs w:val="0"/>
          <w:iCs w:val="0"/>
          <w:caps/>
          <w:smallCaps w:val="0"/>
          <w:color w:val="943634"/>
          <w:sz w:val="24"/>
        </w:rPr>
        <w:t>ю</w:t>
      </w:r>
      <w:r w:rsidR="00861078" w:rsidRPr="00BE536E">
        <w:rPr>
          <w:rFonts w:ascii="Verdana" w:hAnsi="Verdana" w:cs="Arial"/>
          <w:bCs w:val="0"/>
          <w:iCs w:val="0"/>
          <w:caps/>
          <w:smallCaps w:val="0"/>
          <w:color w:val="943634"/>
          <w:sz w:val="24"/>
        </w:rPr>
        <w:t>чая МНО)</w:t>
      </w:r>
      <w:r w:rsidR="00CF2747" w:rsidRPr="00BE536E">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BE536E" w14:paraId="08000006" w14:textId="77777777" w:rsidTr="00D11056">
        <w:trPr>
          <w:trHeight w:val="430"/>
        </w:trPr>
        <w:tc>
          <w:tcPr>
            <w:tcW w:w="1984" w:type="dxa"/>
            <w:shd w:val="clear" w:color="auto" w:fill="A6A6A6"/>
          </w:tcPr>
          <w:p w14:paraId="257D4653"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Виды активов</w:t>
            </w:r>
          </w:p>
        </w:tc>
        <w:tc>
          <w:tcPr>
            <w:tcW w:w="7371" w:type="dxa"/>
          </w:tcPr>
          <w:p w14:paraId="51FFB0A6" w14:textId="77777777" w:rsidR="00861078" w:rsidRPr="00BE536E" w:rsidRDefault="00861078" w:rsidP="00D05311">
            <w:pPr>
              <w:numPr>
                <w:ilvl w:val="0"/>
                <w:numId w:val="70"/>
              </w:numPr>
              <w:spacing w:after="0"/>
              <w:jc w:val="both"/>
              <w:rPr>
                <w:rFonts w:ascii="Verdana" w:hAnsi="Verdana" w:cs="Verdana"/>
                <w:sz w:val="20"/>
                <w:szCs w:val="20"/>
              </w:rPr>
            </w:pPr>
            <w:r w:rsidRPr="00BE536E">
              <w:rPr>
                <w:rFonts w:ascii="Verdana" w:hAnsi="Verdana" w:cs="Verdana"/>
                <w:sz w:val="20"/>
                <w:szCs w:val="20"/>
              </w:rPr>
              <w:t xml:space="preserve">Дебиторская задолженность по процентному доходу по денежным средствам на остаток по счетам управляющей компании Д.У. ПИФ, </w:t>
            </w:r>
          </w:p>
          <w:p w14:paraId="5928A99E" w14:textId="77777777" w:rsidR="00861078" w:rsidRPr="00BE536E" w:rsidRDefault="00861078" w:rsidP="00861078">
            <w:pPr>
              <w:spacing w:after="0" w:line="240" w:lineRule="auto"/>
              <w:jc w:val="both"/>
              <w:rPr>
                <w:rFonts w:ascii="Verdana" w:hAnsi="Verdana"/>
                <w:b/>
                <w:sz w:val="20"/>
                <w:szCs w:val="20"/>
              </w:rPr>
            </w:pPr>
            <w:r w:rsidRPr="00BE536E">
              <w:rPr>
                <w:rFonts w:ascii="Verdana" w:hAnsi="Verdana" w:cs="Verdana"/>
                <w:sz w:val="20"/>
                <w:szCs w:val="20"/>
              </w:rPr>
              <w:t>Дебиторская задолженность по процентному доходу, возникающая на основании договора/соглашения о поддержании неснижаемого остатка по счетам управляющей компании Д.У. ПИФ</w:t>
            </w:r>
          </w:p>
        </w:tc>
      </w:tr>
      <w:tr w:rsidR="00861078" w:rsidRPr="00BE536E" w14:paraId="674ACF69" w14:textId="77777777" w:rsidTr="00D11056">
        <w:trPr>
          <w:trHeight w:val="430"/>
        </w:trPr>
        <w:tc>
          <w:tcPr>
            <w:tcW w:w="1984" w:type="dxa"/>
            <w:shd w:val="clear" w:color="auto" w:fill="A6A6A6"/>
          </w:tcPr>
          <w:p w14:paraId="030D8FB2"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3A4E44E7" w14:textId="77777777" w:rsidR="00861078" w:rsidRPr="00BE536E" w:rsidRDefault="00861078" w:rsidP="00D05311">
            <w:pPr>
              <w:numPr>
                <w:ilvl w:val="0"/>
                <w:numId w:val="71"/>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 которую сумма процентов (полная или частичная) к получению может быть достоверно определена.</w:t>
            </w:r>
          </w:p>
          <w:p w14:paraId="67B63652" w14:textId="77777777" w:rsidR="00861078" w:rsidRPr="00BE536E" w:rsidRDefault="00861078" w:rsidP="00861078">
            <w:pPr>
              <w:spacing w:after="0" w:line="240" w:lineRule="auto"/>
              <w:jc w:val="both"/>
              <w:rPr>
                <w:rFonts w:ascii="Verdana" w:eastAsia="Times New Roman" w:hAnsi="Verdana"/>
                <w:bCs/>
                <w:color w:val="000000"/>
                <w:sz w:val="20"/>
                <w:szCs w:val="20"/>
                <w:lang w:eastAsia="ru-RU"/>
              </w:rPr>
            </w:pPr>
          </w:p>
          <w:p w14:paraId="544EE7EA" w14:textId="77777777" w:rsidR="00861078" w:rsidRPr="00BE536E" w:rsidRDefault="00861078" w:rsidP="00D05311">
            <w:pPr>
              <w:numPr>
                <w:ilvl w:val="0"/>
                <w:numId w:val="71"/>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окончания периода начисления процентного дохода - в</w:t>
            </w:r>
            <w:r w:rsidRPr="00BE536E">
              <w:rPr>
                <w:rFonts w:ascii="Verdana" w:hAnsi="Verdana" w:cs="Verdana"/>
                <w:sz w:val="20"/>
                <w:szCs w:val="20"/>
              </w:rPr>
              <w:t xml:space="preserve"> случае, если договор/соглашение по процентному доходу на остаток по счету содержит условия, которые не позволяют при каждом определении справедливой стоимости достоверно рассчитать сумму процентного дохода к получению или договор/соглашение о начислении процентов на неснижаемый остаток по счету предусматривает условия, при которых итоговая сумма процентов к получению может измениться.  </w:t>
            </w:r>
          </w:p>
          <w:p w14:paraId="7223ED12" w14:textId="77777777" w:rsidR="00861078" w:rsidRPr="00BE536E" w:rsidRDefault="00861078" w:rsidP="00861078">
            <w:pPr>
              <w:spacing w:after="0"/>
              <w:ind w:left="34"/>
              <w:jc w:val="both"/>
              <w:rPr>
                <w:rFonts w:ascii="Verdana" w:eastAsia="Times New Roman" w:hAnsi="Verdana"/>
                <w:iCs/>
                <w:sz w:val="20"/>
                <w:szCs w:val="20"/>
                <w:lang w:eastAsia="ru-RU"/>
              </w:rPr>
            </w:pPr>
          </w:p>
        </w:tc>
      </w:tr>
      <w:tr w:rsidR="00861078" w:rsidRPr="00BE536E" w14:paraId="77E74FF8" w14:textId="77777777" w:rsidTr="00D11056">
        <w:trPr>
          <w:trHeight w:val="853"/>
        </w:trPr>
        <w:tc>
          <w:tcPr>
            <w:tcW w:w="1984" w:type="dxa"/>
            <w:shd w:val="clear" w:color="auto" w:fill="A6A6A6"/>
          </w:tcPr>
          <w:p w14:paraId="3C03E35C"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прекращения признания</w:t>
            </w:r>
          </w:p>
        </w:tc>
        <w:tc>
          <w:tcPr>
            <w:tcW w:w="7371" w:type="dxa"/>
          </w:tcPr>
          <w:p w14:paraId="7C360FB1" w14:textId="77777777" w:rsidR="00861078" w:rsidRPr="00BE536E" w:rsidRDefault="00861078" w:rsidP="00861078">
            <w:pPr>
              <w:numPr>
                <w:ilvl w:val="0"/>
                <w:numId w:val="2"/>
              </w:numPr>
              <w:spacing w:after="0" w:line="240" w:lineRule="auto"/>
              <w:ind w:left="283" w:hanging="283"/>
              <w:jc w:val="both"/>
              <w:rPr>
                <w:rFonts w:ascii="Verdana" w:eastAsia="Times New Roman" w:hAnsi="Verdana"/>
                <w:bCs/>
                <w:sz w:val="20"/>
                <w:szCs w:val="20"/>
                <w:lang w:eastAsia="ru-RU"/>
              </w:rPr>
            </w:pPr>
            <w:r w:rsidRPr="00BE536E">
              <w:rPr>
                <w:rFonts w:ascii="Verdana" w:eastAsia="Times New Roman" w:hAnsi="Verdana"/>
                <w:bCs/>
                <w:color w:val="000000"/>
                <w:sz w:val="20"/>
                <w:szCs w:val="20"/>
                <w:lang w:eastAsia="ru-RU"/>
              </w:rPr>
              <w:t>Дата окончания обязательств банка согласно условиям договора/соглашения о процентном доходе по денежным средствам на счетах</w:t>
            </w:r>
            <w:r w:rsidRPr="00BE536E">
              <w:rPr>
                <w:rFonts w:ascii="Verdana" w:hAnsi="Verdana" w:cs="Verdana"/>
                <w:sz w:val="20"/>
                <w:szCs w:val="20"/>
              </w:rPr>
              <w:t xml:space="preserve"> или о поддержании неснижаемого остатка по счетам управляющей компании Д.У. ПИФ</w:t>
            </w:r>
            <w:r w:rsidRPr="00BE536E">
              <w:rPr>
                <w:rFonts w:ascii="Verdana" w:eastAsia="Times New Roman" w:hAnsi="Verdana"/>
                <w:bCs/>
                <w:color w:val="000000"/>
                <w:sz w:val="20"/>
                <w:szCs w:val="20"/>
                <w:lang w:eastAsia="ru-RU"/>
              </w:rPr>
              <w:t>;</w:t>
            </w:r>
          </w:p>
          <w:p w14:paraId="4105003F" w14:textId="77777777" w:rsidR="00861078" w:rsidRPr="00BE536E" w:rsidRDefault="00861078" w:rsidP="00861078">
            <w:pPr>
              <w:spacing w:after="0" w:line="240" w:lineRule="auto"/>
              <w:jc w:val="both"/>
              <w:rPr>
                <w:rFonts w:ascii="Verdana" w:eastAsia="Times New Roman" w:hAnsi="Verdana"/>
                <w:bCs/>
                <w:sz w:val="20"/>
                <w:szCs w:val="20"/>
                <w:lang w:eastAsia="ru-RU"/>
              </w:rPr>
            </w:pPr>
            <w:r w:rsidRPr="00BE536E">
              <w:rPr>
                <w:rFonts w:ascii="Verdana" w:eastAsia="Times New Roman" w:hAnsi="Verdana"/>
                <w:bCs/>
                <w:color w:val="000000"/>
                <w:sz w:val="20"/>
                <w:szCs w:val="20"/>
                <w:lang w:eastAsia="ru-RU"/>
              </w:rPr>
              <w:t xml:space="preserve">Дата ликвидации банка согласно информации, раскрытой в официальном доступном источнике (в том числе записи в ЕГРЮЛ о ликвидации банка). </w:t>
            </w:r>
          </w:p>
        </w:tc>
      </w:tr>
      <w:tr w:rsidR="00861078" w:rsidRPr="00BE536E" w14:paraId="7805708A" w14:textId="77777777" w:rsidTr="00D11056">
        <w:trPr>
          <w:trHeight w:val="1735"/>
        </w:trPr>
        <w:tc>
          <w:tcPr>
            <w:tcW w:w="1984" w:type="dxa"/>
            <w:shd w:val="clear" w:color="auto" w:fill="A6A6A6"/>
          </w:tcPr>
          <w:p w14:paraId="7FF3CA30"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Критерии и сроки квалификации дебиторской задолженности как   операционной </w:t>
            </w:r>
          </w:p>
        </w:tc>
        <w:tc>
          <w:tcPr>
            <w:tcW w:w="7371" w:type="dxa"/>
          </w:tcPr>
          <w:p w14:paraId="46A07F42"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163EEF81"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p>
          <w:p w14:paraId="0776EA41" w14:textId="77777777" w:rsidR="00861078" w:rsidRPr="00BE536E" w:rsidRDefault="00861078" w:rsidP="00861078">
            <w:pPr>
              <w:numPr>
                <w:ilvl w:val="0"/>
                <w:numId w:val="2"/>
              </w:numPr>
              <w:spacing w:after="0" w:line="240" w:lineRule="auto"/>
              <w:ind w:left="283" w:hanging="283"/>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с  даты признания до даты выплаты процентов (включительно) в соответствии с договором/соглашением.</w:t>
            </w:r>
          </w:p>
        </w:tc>
      </w:tr>
      <w:tr w:rsidR="00861078" w:rsidRPr="00BE536E" w14:paraId="1812501E" w14:textId="77777777" w:rsidTr="00D11056">
        <w:tc>
          <w:tcPr>
            <w:tcW w:w="1984" w:type="dxa"/>
            <w:shd w:val="clear" w:color="auto" w:fill="A6A6A6"/>
          </w:tcPr>
          <w:p w14:paraId="03BB4F6E"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43E2D4A6"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Справедливая стоимость дебиторской задолженности по п</w:t>
            </w:r>
            <w:r w:rsidRPr="00BE536E">
              <w:rPr>
                <w:rFonts w:ascii="Verdana" w:hAnsi="Verdana" w:cs="Verdana"/>
                <w:sz w:val="20"/>
                <w:szCs w:val="20"/>
              </w:rPr>
              <w:t>роцентному доходу по денежным средствам на счетах управляющей компании Д.У. ПИФ</w:t>
            </w:r>
            <w:r w:rsidRPr="00BE536E">
              <w:rPr>
                <w:rFonts w:ascii="Verdana" w:hAnsi="Verdana"/>
                <w:sz w:val="20"/>
                <w:szCs w:val="20"/>
              </w:rPr>
              <w:t xml:space="preserve"> определяется в течение всего срока квалификации задолженности как операционной в сумме процентов, начисленных согласно условиям договора/соглашения на сумму остатка по счету или на сумму неснижаемого остатка по счету - в случае, если условия начисления процентов позволяют </w:t>
            </w:r>
            <w:r w:rsidRPr="00BE536E">
              <w:rPr>
                <w:rFonts w:ascii="Verdana" w:hAnsi="Verdana"/>
                <w:b/>
                <w:sz w:val="20"/>
                <w:szCs w:val="20"/>
              </w:rPr>
              <w:t>надежно и достоверно</w:t>
            </w:r>
            <w:r w:rsidRPr="00BE536E">
              <w:rPr>
                <w:rFonts w:ascii="Verdana" w:hAnsi="Verdana"/>
                <w:sz w:val="20"/>
                <w:szCs w:val="20"/>
              </w:rPr>
              <w:t xml:space="preserve"> рассчитать их размер </w:t>
            </w:r>
            <w:r w:rsidRPr="00BE536E">
              <w:rPr>
                <w:rFonts w:ascii="Verdana" w:hAnsi="Verdana"/>
                <w:b/>
                <w:sz w:val="20"/>
                <w:szCs w:val="20"/>
              </w:rPr>
              <w:t>к получению</w:t>
            </w:r>
            <w:r w:rsidRPr="00BE536E">
              <w:rPr>
                <w:rFonts w:ascii="Verdana" w:hAnsi="Verdana"/>
                <w:sz w:val="20"/>
                <w:szCs w:val="20"/>
              </w:rPr>
              <w:t xml:space="preserve"> на дату определения справедливой стоимости.</w:t>
            </w:r>
          </w:p>
          <w:p w14:paraId="7004CC27" w14:textId="77777777" w:rsidR="00861078" w:rsidRPr="00BE536E" w:rsidRDefault="00861078" w:rsidP="00861078">
            <w:pPr>
              <w:spacing w:after="0" w:line="240" w:lineRule="auto"/>
              <w:jc w:val="both"/>
              <w:rPr>
                <w:rFonts w:ascii="Verdana" w:hAnsi="Verdana"/>
                <w:sz w:val="20"/>
                <w:szCs w:val="20"/>
              </w:rPr>
            </w:pPr>
          </w:p>
          <w:p w14:paraId="0318EAEF"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lastRenderedPageBreak/>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6DF9828D" w14:textId="77777777" w:rsidR="00861078" w:rsidRPr="00BE536E" w:rsidRDefault="00861078" w:rsidP="00861078">
            <w:pPr>
              <w:spacing w:after="0" w:line="240" w:lineRule="auto"/>
              <w:jc w:val="both"/>
              <w:rPr>
                <w:rFonts w:ascii="Verdana" w:hAnsi="Verdana" w:cs="Verdana"/>
                <w:sz w:val="20"/>
                <w:szCs w:val="20"/>
              </w:rPr>
            </w:pPr>
          </w:p>
        </w:tc>
      </w:tr>
      <w:tr w:rsidR="00861078" w:rsidRPr="00BE536E" w14:paraId="37C64BB2" w14:textId="77777777" w:rsidTr="00D11056">
        <w:trPr>
          <w:trHeight w:val="1044"/>
        </w:trPr>
        <w:tc>
          <w:tcPr>
            <w:tcW w:w="1984" w:type="dxa"/>
            <w:shd w:val="clear" w:color="auto" w:fill="A6A6A6"/>
          </w:tcPr>
          <w:p w14:paraId="119840E1" w14:textId="77777777" w:rsidR="00861078" w:rsidRPr="00BE536E" w:rsidRDefault="00861078" w:rsidP="00861078">
            <w:pPr>
              <w:jc w:val="both"/>
              <w:rPr>
                <w:rFonts w:ascii="Verdana" w:hAnsi="Verdana"/>
                <w:i/>
                <w:sz w:val="20"/>
                <w:szCs w:val="20"/>
              </w:rPr>
            </w:pPr>
            <w:r w:rsidRPr="00BE536E">
              <w:rPr>
                <w:rFonts w:ascii="Verdana" w:hAnsi="Verdana"/>
                <w:i/>
                <w:sz w:val="20"/>
                <w:szCs w:val="20"/>
              </w:rPr>
              <w:lastRenderedPageBreak/>
              <w:t xml:space="preserve">Дата и события, приводящие к обесценению </w:t>
            </w:r>
          </w:p>
        </w:tc>
        <w:tc>
          <w:tcPr>
            <w:tcW w:w="7371" w:type="dxa"/>
          </w:tcPr>
          <w:p w14:paraId="18FDB123" w14:textId="77777777" w:rsidR="00861078" w:rsidRPr="00BE536E" w:rsidRDefault="00861078" w:rsidP="00861078">
            <w:pPr>
              <w:spacing w:after="0" w:line="240" w:lineRule="auto"/>
              <w:ind w:left="34"/>
              <w:jc w:val="both"/>
              <w:rPr>
                <w:rStyle w:val="a5"/>
                <w:rFonts w:ascii="Verdana" w:eastAsia="Times New Roman" w:hAnsi="Verdana"/>
                <w:bCs/>
                <w:sz w:val="20"/>
                <w:szCs w:val="20"/>
                <w:lang w:eastAsia="ru-RU"/>
              </w:rPr>
            </w:pPr>
          </w:p>
          <w:p w14:paraId="5781446F" w14:textId="77777777" w:rsidR="00861078" w:rsidRPr="00BE536E" w:rsidRDefault="00861078" w:rsidP="00861078">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152B436C" w14:textId="77777777" w:rsidR="00861078" w:rsidRPr="00BE536E" w:rsidRDefault="00861078" w:rsidP="00861078">
            <w:pPr>
              <w:spacing w:after="0" w:line="240" w:lineRule="auto"/>
              <w:ind w:left="34"/>
              <w:jc w:val="both"/>
              <w:rPr>
                <w:rFonts w:ascii="Verdana" w:hAnsi="Verdana"/>
                <w:sz w:val="20"/>
                <w:szCs w:val="20"/>
              </w:rPr>
            </w:pPr>
          </w:p>
        </w:tc>
      </w:tr>
    </w:tbl>
    <w:p w14:paraId="4D52ADC0" w14:textId="77777777" w:rsidR="00FE42BB" w:rsidRPr="00BE536E" w:rsidRDefault="00FE42BB" w:rsidP="00FE42BB">
      <w:pPr>
        <w:spacing w:line="360" w:lineRule="auto"/>
        <w:ind w:firstLine="720"/>
        <w:jc w:val="both"/>
        <w:rPr>
          <w:rFonts w:ascii="Verdana" w:hAnsi="Verdana"/>
        </w:rPr>
      </w:pPr>
    </w:p>
    <w:p w14:paraId="77E08087" w14:textId="77777777" w:rsidR="00D704B3" w:rsidRPr="00BE536E" w:rsidRDefault="00D704B3">
      <w:pPr>
        <w:spacing w:after="0" w:line="240" w:lineRule="auto"/>
        <w:rPr>
          <w:rFonts w:ascii="Verdana" w:hAnsi="Verdana"/>
        </w:rPr>
      </w:pPr>
      <w:r w:rsidRPr="00BE536E">
        <w:rPr>
          <w:rFonts w:ascii="Verdana" w:hAnsi="Verdana"/>
        </w:rPr>
        <w:br w:type="page"/>
      </w:r>
    </w:p>
    <w:p w14:paraId="7AAFBCD1" w14:textId="7646C2AD" w:rsidR="00171B07"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26" w:name="_Toc27400771"/>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13</w:t>
      </w:r>
      <w:r w:rsidRPr="00BE536E">
        <w:rPr>
          <w:rFonts w:ascii="Verdana" w:hAnsi="Verdana" w:cs="Arial"/>
          <w:b w:val="0"/>
          <w:bCs w:val="0"/>
          <w:iCs w:val="0"/>
          <w:caps/>
          <w:smallCaps w:val="0"/>
          <w:color w:val="943634"/>
          <w:sz w:val="24"/>
        </w:rPr>
        <w:t xml:space="preserve">. </w:t>
      </w:r>
      <w:r w:rsidR="00BD542B" w:rsidRPr="00BE536E">
        <w:rPr>
          <w:rFonts w:ascii="Verdana" w:hAnsi="Verdana" w:cs="Arial"/>
          <w:bCs w:val="0"/>
          <w:iCs w:val="0"/>
          <w:caps/>
          <w:smallCaps w:val="0"/>
          <w:color w:val="943634"/>
          <w:sz w:val="24"/>
        </w:rPr>
        <w:t>Дебиторская задолженность по выплате д</w:t>
      </w:r>
      <w:r w:rsidR="008B1112" w:rsidRPr="00BE536E">
        <w:rPr>
          <w:rFonts w:ascii="Verdana" w:hAnsi="Verdana" w:cs="Arial"/>
          <w:bCs w:val="0"/>
          <w:iCs w:val="0"/>
          <w:caps/>
          <w:smallCaps w:val="0"/>
          <w:color w:val="943634"/>
          <w:sz w:val="24"/>
        </w:rPr>
        <w:t>ивиденд</w:t>
      </w:r>
      <w:r w:rsidR="00BD542B" w:rsidRPr="00BE536E">
        <w:rPr>
          <w:rFonts w:ascii="Verdana" w:hAnsi="Verdana" w:cs="Arial"/>
          <w:bCs w:val="0"/>
          <w:iCs w:val="0"/>
          <w:caps/>
          <w:smallCaps w:val="0"/>
          <w:color w:val="943634"/>
          <w:sz w:val="24"/>
        </w:rPr>
        <w:t>ов по акциям</w:t>
      </w:r>
      <w:r w:rsidR="00FE7FBB" w:rsidRPr="00BE536E">
        <w:rPr>
          <w:rFonts w:ascii="Verdana" w:hAnsi="Verdana" w:cs="Arial"/>
          <w:bCs w:val="0"/>
          <w:iCs w:val="0"/>
          <w:caps/>
          <w:smallCaps w:val="0"/>
          <w:color w:val="943634"/>
          <w:sz w:val="24"/>
        </w:rPr>
        <w:t xml:space="preserve">, дохода по </w:t>
      </w:r>
      <w:r w:rsidR="00A2681B" w:rsidRPr="00BE536E">
        <w:rPr>
          <w:rFonts w:ascii="Verdana" w:hAnsi="Verdana" w:cs="Arial"/>
          <w:bCs w:val="0"/>
          <w:iCs w:val="0"/>
          <w:caps/>
          <w:smallCaps w:val="0"/>
          <w:color w:val="943634"/>
          <w:sz w:val="24"/>
        </w:rPr>
        <w:t>депозитарным распискам</w:t>
      </w:r>
      <w:bookmarkEnd w:id="26"/>
      <w:r w:rsidR="00421B7B" w:rsidRPr="00BE536E">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BE536E" w14:paraId="14178FF6" w14:textId="77777777" w:rsidTr="00D11056">
        <w:trPr>
          <w:trHeight w:val="363"/>
        </w:trPr>
        <w:tc>
          <w:tcPr>
            <w:tcW w:w="1984" w:type="dxa"/>
            <w:shd w:val="clear" w:color="auto" w:fill="A6A6A6"/>
          </w:tcPr>
          <w:p w14:paraId="42EB8ED8"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Виды активов</w:t>
            </w:r>
          </w:p>
        </w:tc>
        <w:tc>
          <w:tcPr>
            <w:tcW w:w="7371" w:type="dxa"/>
          </w:tcPr>
          <w:p w14:paraId="61D3C41E" w14:textId="77777777" w:rsidR="00861078" w:rsidRPr="00BE536E" w:rsidRDefault="00861078" w:rsidP="00861078">
            <w:pPr>
              <w:spacing w:after="0" w:line="240" w:lineRule="auto"/>
              <w:jc w:val="both"/>
              <w:rPr>
                <w:rFonts w:ascii="Verdana" w:hAnsi="Verdana" w:cs="Verdana"/>
                <w:b/>
                <w:sz w:val="20"/>
                <w:szCs w:val="20"/>
              </w:rPr>
            </w:pPr>
            <w:r w:rsidRPr="00BE536E">
              <w:rPr>
                <w:rFonts w:ascii="Verdana" w:eastAsia="Times New Roman" w:hAnsi="Verdana"/>
                <w:bCs/>
                <w:sz w:val="20"/>
                <w:szCs w:val="20"/>
                <w:lang w:eastAsia="ru-RU"/>
              </w:rPr>
              <w:t>Дебиторская задолженность по выплате дивидендов по акциям, дохода по депозитарным распискам</w:t>
            </w:r>
            <w:r w:rsidRPr="00BE536E">
              <w:rPr>
                <w:rFonts w:ascii="Verdana" w:eastAsia="Times New Roman" w:hAnsi="Verdana"/>
                <w:b/>
                <w:bCs/>
                <w:lang w:eastAsia="ru-RU"/>
              </w:rPr>
              <w:t xml:space="preserve"> </w:t>
            </w:r>
          </w:p>
        </w:tc>
      </w:tr>
      <w:tr w:rsidR="00861078" w:rsidRPr="00BE536E" w14:paraId="2B269D59" w14:textId="77777777" w:rsidTr="00D11056">
        <w:trPr>
          <w:trHeight w:val="363"/>
        </w:trPr>
        <w:tc>
          <w:tcPr>
            <w:tcW w:w="1984" w:type="dxa"/>
            <w:shd w:val="clear" w:color="auto" w:fill="A6A6A6"/>
          </w:tcPr>
          <w:p w14:paraId="66FA9AC5"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37105F91" w14:textId="77777777" w:rsidR="00861078" w:rsidRPr="00BE536E" w:rsidRDefault="00861078" w:rsidP="00567222">
            <w:pPr>
              <w:numPr>
                <w:ilvl w:val="0"/>
                <w:numId w:val="11"/>
              </w:numPr>
              <w:spacing w:after="0" w:line="240" w:lineRule="auto"/>
              <w:ind w:left="301"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Дата признания дебиторской задолженности по выплате дивидендов по акциям, дохода по депозитарным распискам в отношении: </w:t>
            </w:r>
          </w:p>
          <w:p w14:paraId="0A2F1C04" w14:textId="77777777" w:rsidR="00861078" w:rsidRPr="00BE536E" w:rsidRDefault="00861078" w:rsidP="00861078">
            <w:pPr>
              <w:spacing w:after="0" w:line="240" w:lineRule="auto"/>
              <w:ind w:left="317" w:firstLine="1"/>
              <w:jc w:val="both"/>
              <w:rPr>
                <w:rFonts w:ascii="Verdana" w:hAnsi="Verdana"/>
                <w:bCs/>
              </w:rPr>
            </w:pPr>
            <w:r w:rsidRPr="00BE536E">
              <w:rPr>
                <w:rFonts w:ascii="Verdana" w:eastAsia="Times New Roman" w:hAnsi="Verdana"/>
                <w:bCs/>
                <w:sz w:val="20"/>
                <w:szCs w:val="20"/>
                <w:lang w:eastAsia="ru-RU"/>
              </w:rPr>
              <w:t xml:space="preserve">- акций, депозитарных расписок российских эмитентов является в соответствии с информацией НКО АО НРД или официальных сайтов эмитента ценных бумаг - дата фиксации реестра акционеров для выплаты дивидендов; </w:t>
            </w:r>
            <w:r w:rsidRPr="00BE536E">
              <w:rPr>
                <w:rFonts w:ascii="Verdana" w:eastAsia="Times New Roman" w:hAnsi="Verdana"/>
                <w:bCs/>
                <w:sz w:val="20"/>
                <w:szCs w:val="20"/>
                <w:lang w:eastAsia="ru-RU"/>
              </w:rPr>
              <w:br/>
              <w:t xml:space="preserve">- акций, депозитарных расписок  иностранных эмитентов является в соответствии с информацией НКО АО НРД  дата, на которую определяются лица, имеющие право на получение дивидендов или в соответствии с  информационной системой </w:t>
            </w:r>
            <w:r w:rsidRPr="00BE536E">
              <w:rPr>
                <w:rFonts w:ascii="Verdana" w:hAnsi="Verdana"/>
                <w:sz w:val="20"/>
                <w:szCs w:val="20"/>
              </w:rPr>
              <w:t>"</w:t>
            </w:r>
            <w:r w:rsidRPr="00BE536E">
              <w:rPr>
                <w:rFonts w:ascii="Verdana" w:eastAsia="Times New Roman" w:hAnsi="Verdana"/>
                <w:bCs/>
                <w:sz w:val="20"/>
                <w:szCs w:val="20"/>
                <w:lang w:eastAsia="ru-RU"/>
              </w:rPr>
              <w:t>Блумберг</w:t>
            </w:r>
            <w:r w:rsidRPr="00BE536E">
              <w:rPr>
                <w:rFonts w:ascii="Verdana" w:hAnsi="Verdana"/>
                <w:sz w:val="20"/>
                <w:szCs w:val="20"/>
              </w:rPr>
              <w:t>" (Bloomberg) дата, с которой ценные бумаги начинают торговаться без учета объявленных дивидендов (DVD_EX_DT);</w:t>
            </w:r>
          </w:p>
          <w:p w14:paraId="4C526CDD" w14:textId="77777777" w:rsidR="00861078" w:rsidRPr="00BE536E" w:rsidRDefault="00861078" w:rsidP="00861078">
            <w:pPr>
              <w:spacing w:after="0" w:line="240" w:lineRule="auto"/>
              <w:ind w:left="317" w:firstLine="1"/>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отсутствии информации из НКО АО НРД, официальных сайтов эмитента ценных бумаг, информационной системы </w:t>
            </w:r>
            <w:r w:rsidRPr="00BE536E">
              <w:rPr>
                <w:rFonts w:ascii="Verdana" w:hAnsi="Verdana"/>
                <w:sz w:val="20"/>
                <w:szCs w:val="20"/>
              </w:rPr>
              <w:t>"</w:t>
            </w:r>
            <w:r w:rsidRPr="00BE536E">
              <w:rPr>
                <w:rFonts w:ascii="Verdana" w:eastAsia="Times New Roman" w:hAnsi="Verdana"/>
                <w:bCs/>
                <w:sz w:val="20"/>
                <w:szCs w:val="20"/>
                <w:lang w:eastAsia="ru-RU"/>
              </w:rPr>
              <w:t>Блумберг</w:t>
            </w:r>
            <w:r w:rsidRPr="00BE536E">
              <w:rPr>
                <w:rFonts w:ascii="Verdana" w:hAnsi="Verdana"/>
                <w:sz w:val="20"/>
                <w:szCs w:val="20"/>
              </w:rPr>
              <w:t>" (Bloomberg)</w:t>
            </w:r>
            <w:r w:rsidRPr="00BE536E">
              <w:rPr>
                <w:rFonts w:ascii="Verdana" w:eastAsia="Times New Roman" w:hAnsi="Verdana"/>
                <w:bCs/>
                <w:sz w:val="20"/>
                <w:szCs w:val="20"/>
                <w:lang w:eastAsia="ru-RU"/>
              </w:rPr>
              <w:t xml:space="preserve">   - дата  зачисления денежных средств на расчетный счет, открытый управляющей компании Д.У. ПИФ. </w:t>
            </w:r>
          </w:p>
          <w:p w14:paraId="112748F5" w14:textId="77777777" w:rsidR="00861078" w:rsidRPr="00BE536E" w:rsidRDefault="00861078" w:rsidP="00861078">
            <w:pPr>
              <w:spacing w:after="0" w:line="240" w:lineRule="auto"/>
              <w:rPr>
                <w:rFonts w:ascii="Verdana" w:eastAsia="Times New Roman" w:hAnsi="Verdana"/>
                <w:iCs/>
                <w:sz w:val="20"/>
                <w:szCs w:val="20"/>
                <w:lang w:eastAsia="ru-RU"/>
              </w:rPr>
            </w:pPr>
            <w:r w:rsidRPr="00BE536E">
              <w:rPr>
                <w:rFonts w:ascii="Verdana" w:hAnsi="Verdana" w:cs="Verdana"/>
                <w:sz w:val="20"/>
                <w:szCs w:val="20"/>
              </w:rPr>
              <w:t>При отсутствии информации из выше указанных источников (в том числе размера причитающихся выплат) - дата  зачисления денежных средств на расчетный счет управляющей компании Д.У. ПИФ (в том числе на счет брокера ПИФ).</w:t>
            </w:r>
          </w:p>
        </w:tc>
      </w:tr>
      <w:tr w:rsidR="00861078" w:rsidRPr="00BE536E" w14:paraId="35BB5E9F" w14:textId="77777777" w:rsidTr="00D11056">
        <w:trPr>
          <w:trHeight w:val="3697"/>
        </w:trPr>
        <w:tc>
          <w:tcPr>
            <w:tcW w:w="1984" w:type="dxa"/>
            <w:shd w:val="clear" w:color="auto" w:fill="A6A6A6"/>
          </w:tcPr>
          <w:p w14:paraId="036F179B"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прекращения признания</w:t>
            </w:r>
          </w:p>
        </w:tc>
        <w:tc>
          <w:tcPr>
            <w:tcW w:w="7371" w:type="dxa"/>
          </w:tcPr>
          <w:p w14:paraId="57E95898" w14:textId="77777777" w:rsidR="00861078" w:rsidRPr="00BE536E" w:rsidRDefault="00861078" w:rsidP="00567222">
            <w:pPr>
              <w:numPr>
                <w:ilvl w:val="0"/>
                <w:numId w:val="11"/>
              </w:numPr>
              <w:spacing w:after="0" w:line="240" w:lineRule="auto"/>
              <w:ind w:left="284"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Дата исполнения  обязательств эмитентом, подтвержденной банковской выпиской с </w:t>
            </w:r>
            <w:r w:rsidRPr="00BE536E">
              <w:rPr>
                <w:rFonts w:ascii="Verdana" w:hAnsi="Verdana" w:cs="Verdana"/>
                <w:sz w:val="20"/>
                <w:szCs w:val="20"/>
              </w:rPr>
              <w:t>расчетного счета управляющей компании Д.У. ПИФ</w:t>
            </w:r>
            <w:r w:rsidRPr="00BE536E">
              <w:rPr>
                <w:rFonts w:ascii="Verdana" w:eastAsia="Times New Roman" w:hAnsi="Verdana"/>
                <w:bCs/>
                <w:sz w:val="20"/>
                <w:szCs w:val="20"/>
                <w:lang w:eastAsia="ru-RU"/>
              </w:rPr>
              <w:t xml:space="preserve">  или отчетом брокера ПИФ;</w:t>
            </w:r>
          </w:p>
          <w:p w14:paraId="2DF89D68" w14:textId="77777777" w:rsidR="00861078" w:rsidRPr="00BE536E" w:rsidRDefault="00861078" w:rsidP="00567222">
            <w:pPr>
              <w:numPr>
                <w:ilvl w:val="0"/>
                <w:numId w:val="11"/>
              </w:numPr>
              <w:spacing w:after="0" w:line="240" w:lineRule="auto"/>
              <w:ind w:left="318"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861078" w:rsidRPr="00BE536E" w14:paraId="4D362A95" w14:textId="77777777" w:rsidTr="00D11056">
        <w:trPr>
          <w:trHeight w:val="1336"/>
        </w:trPr>
        <w:tc>
          <w:tcPr>
            <w:tcW w:w="1984" w:type="dxa"/>
            <w:shd w:val="clear" w:color="auto" w:fill="A6A6A6"/>
          </w:tcPr>
          <w:p w14:paraId="7029CA4F"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Критерии и сроки квалификации дебиторской задолженности как   операционной </w:t>
            </w:r>
          </w:p>
        </w:tc>
        <w:tc>
          <w:tcPr>
            <w:tcW w:w="7371" w:type="dxa"/>
          </w:tcPr>
          <w:p w14:paraId="0E431CA8"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3FAF187F"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p>
          <w:p w14:paraId="3B4B9435" w14:textId="77777777" w:rsidR="00861078" w:rsidRPr="00BE536E" w:rsidRDefault="00861078" w:rsidP="00D05311">
            <w:pPr>
              <w:numPr>
                <w:ilvl w:val="0"/>
                <w:numId w:val="69"/>
              </w:numPr>
              <w:spacing w:after="0" w:line="240" w:lineRule="auto"/>
              <w:ind w:left="34" w:firstLine="0"/>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течение 25 рабочих дней с даты признания дебиторской задолженности российских и иностранных эмитентов, а так же международных корпораций. </w:t>
            </w:r>
          </w:p>
          <w:p w14:paraId="5D818773" w14:textId="77777777" w:rsidR="00861078" w:rsidRPr="00BE536E" w:rsidRDefault="00861078" w:rsidP="00567222">
            <w:pPr>
              <w:spacing w:after="0" w:line="240" w:lineRule="auto"/>
              <w:ind w:left="284"/>
              <w:jc w:val="both"/>
              <w:rPr>
                <w:rFonts w:ascii="Verdana" w:eastAsia="Times New Roman" w:hAnsi="Verdana"/>
                <w:bCs/>
                <w:sz w:val="20"/>
                <w:szCs w:val="20"/>
                <w:lang w:eastAsia="ru-RU"/>
              </w:rPr>
            </w:pPr>
          </w:p>
        </w:tc>
      </w:tr>
      <w:tr w:rsidR="00861078" w:rsidRPr="00BE536E" w14:paraId="49D1BAB8" w14:textId="77777777" w:rsidTr="00D11056">
        <w:tc>
          <w:tcPr>
            <w:tcW w:w="1984" w:type="dxa"/>
            <w:shd w:val="clear" w:color="auto" w:fill="A6A6A6"/>
          </w:tcPr>
          <w:p w14:paraId="320C6DDF"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lastRenderedPageBreak/>
              <w:t>Справедливая стоимость</w:t>
            </w:r>
          </w:p>
        </w:tc>
        <w:tc>
          <w:tcPr>
            <w:tcW w:w="7371" w:type="dxa"/>
          </w:tcPr>
          <w:p w14:paraId="21DFD264"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 xml:space="preserve">Оценка справедливой стоимости дебиторской задолженности по выплате дивидендов по акциям, </w:t>
            </w:r>
            <w:r w:rsidRPr="00BE536E">
              <w:rPr>
                <w:rFonts w:ascii="Verdana" w:eastAsia="Times New Roman" w:hAnsi="Verdana"/>
                <w:bCs/>
                <w:sz w:val="20"/>
                <w:szCs w:val="20"/>
                <w:lang w:eastAsia="ru-RU"/>
              </w:rPr>
              <w:t>дохода по депозитарным распискам в течение всего срока квалификации такой задолженности как операционной не корректируется и</w:t>
            </w:r>
            <w:r w:rsidRPr="00BE536E">
              <w:rPr>
                <w:rFonts w:ascii="Verdana" w:eastAsia="Times New Roman" w:hAnsi="Verdana"/>
                <w:b/>
                <w:bCs/>
                <w:lang w:eastAsia="ru-RU"/>
              </w:rPr>
              <w:t xml:space="preserve"> </w:t>
            </w:r>
            <w:r w:rsidRPr="00BE536E">
              <w:rPr>
                <w:rFonts w:ascii="Verdana" w:hAnsi="Verdana"/>
                <w:sz w:val="20"/>
                <w:szCs w:val="20"/>
              </w:rPr>
              <w:t>определяется в номинальной величине исходя из:</w:t>
            </w:r>
          </w:p>
          <w:p w14:paraId="2296F9A8" w14:textId="77777777" w:rsidR="00861078" w:rsidRPr="00BE536E" w:rsidRDefault="00861078" w:rsidP="00567222">
            <w:pPr>
              <w:numPr>
                <w:ilvl w:val="0"/>
                <w:numId w:val="6"/>
              </w:numPr>
              <w:spacing w:after="0" w:line="240" w:lineRule="auto"/>
              <w:ind w:left="284" w:hanging="284"/>
              <w:jc w:val="both"/>
              <w:rPr>
                <w:rFonts w:ascii="Verdana" w:hAnsi="Verdana"/>
                <w:sz w:val="20"/>
                <w:szCs w:val="20"/>
              </w:rPr>
            </w:pPr>
            <w:r w:rsidRPr="00BE536E">
              <w:rPr>
                <w:rFonts w:ascii="Verdana" w:hAnsi="Verdana"/>
                <w:sz w:val="20"/>
                <w:szCs w:val="20"/>
              </w:rPr>
              <w:t>количества акций</w:t>
            </w:r>
            <w:r w:rsidRPr="00BE536E">
              <w:rPr>
                <w:rFonts w:ascii="Verdana" w:eastAsia="Times New Roman" w:hAnsi="Verdana"/>
                <w:bCs/>
                <w:sz w:val="20"/>
                <w:szCs w:val="20"/>
                <w:lang w:eastAsia="ru-RU"/>
              </w:rPr>
              <w:t>/депозитарных расписок</w:t>
            </w:r>
            <w:r w:rsidRPr="00BE536E">
              <w:rPr>
                <w:rFonts w:ascii="Verdana" w:hAnsi="Verdana"/>
                <w:sz w:val="20"/>
                <w:szCs w:val="20"/>
              </w:rPr>
              <w:t xml:space="preserve">, учтенных на счете депо ПИФ на дату, на которую определяются лица, имеющие право на получение дивидендов и </w:t>
            </w:r>
          </w:p>
          <w:p w14:paraId="14F465C5" w14:textId="77777777" w:rsidR="00861078" w:rsidRPr="00BE536E" w:rsidRDefault="00861078" w:rsidP="00567222">
            <w:pPr>
              <w:numPr>
                <w:ilvl w:val="0"/>
                <w:numId w:val="6"/>
              </w:numPr>
              <w:spacing w:after="0" w:line="240" w:lineRule="auto"/>
              <w:ind w:left="284" w:hanging="284"/>
              <w:jc w:val="both"/>
              <w:rPr>
                <w:rFonts w:ascii="Verdana" w:hAnsi="Verdana"/>
                <w:sz w:val="20"/>
                <w:szCs w:val="20"/>
              </w:rPr>
            </w:pPr>
            <w:r w:rsidRPr="00BE536E">
              <w:rPr>
                <w:rFonts w:ascii="Verdana" w:hAnsi="Verdana"/>
                <w:sz w:val="20"/>
                <w:szCs w:val="20"/>
              </w:rPr>
              <w:t>объявленного размера дивиденда (дохода), приходящегося на одну ценную бумагу соответствующей категории (типа) за вычетом налогов и сборов в случае, если это применимо.</w:t>
            </w:r>
          </w:p>
          <w:p w14:paraId="7EF0F1D5" w14:textId="77777777" w:rsidR="00861078" w:rsidRPr="00BE536E" w:rsidRDefault="00861078" w:rsidP="00861078">
            <w:pPr>
              <w:spacing w:after="0" w:line="240" w:lineRule="auto"/>
              <w:jc w:val="both"/>
              <w:rPr>
                <w:rFonts w:ascii="Verdana" w:hAnsi="Verdana"/>
                <w:sz w:val="20"/>
                <w:szCs w:val="20"/>
              </w:rPr>
            </w:pPr>
          </w:p>
          <w:p w14:paraId="7C7A6C37"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 xml:space="preserve">По истечении срока квалификации дебиторской задолженности как операционной,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7F967349" w14:textId="77777777" w:rsidR="00861078" w:rsidRPr="00BE536E" w:rsidRDefault="00861078" w:rsidP="00274EE4">
            <w:pPr>
              <w:spacing w:after="0" w:line="240" w:lineRule="auto"/>
              <w:ind w:left="284"/>
              <w:jc w:val="both"/>
              <w:rPr>
                <w:rFonts w:ascii="Verdana" w:hAnsi="Verdana"/>
                <w:sz w:val="20"/>
                <w:szCs w:val="20"/>
              </w:rPr>
            </w:pPr>
          </w:p>
        </w:tc>
      </w:tr>
      <w:tr w:rsidR="00861078" w:rsidRPr="00BE536E" w14:paraId="66C832E6" w14:textId="77777777" w:rsidTr="00D11056">
        <w:trPr>
          <w:trHeight w:val="415"/>
        </w:trPr>
        <w:tc>
          <w:tcPr>
            <w:tcW w:w="1984" w:type="dxa"/>
            <w:shd w:val="clear" w:color="auto" w:fill="A6A6A6"/>
          </w:tcPr>
          <w:p w14:paraId="0DF500C9"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0B2BCDA1" w14:textId="77777777" w:rsidR="00861078" w:rsidRPr="00BE536E" w:rsidRDefault="00861078" w:rsidP="00861078">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2A7C4C37" w14:textId="77777777" w:rsidR="00861078" w:rsidRPr="00BE536E" w:rsidRDefault="00861078" w:rsidP="00861078">
            <w:pPr>
              <w:autoSpaceDE w:val="0"/>
              <w:autoSpaceDN w:val="0"/>
              <w:spacing w:after="0" w:line="240" w:lineRule="auto"/>
              <w:jc w:val="both"/>
              <w:rPr>
                <w:rFonts w:ascii="Verdana" w:hAnsi="Verdana"/>
                <w:sz w:val="20"/>
                <w:szCs w:val="20"/>
              </w:rPr>
            </w:pPr>
          </w:p>
          <w:p w14:paraId="7D84B2B1" w14:textId="77777777" w:rsidR="00861078" w:rsidRPr="00BE536E" w:rsidRDefault="00861078" w:rsidP="00861078">
            <w:pPr>
              <w:spacing w:after="0" w:line="240" w:lineRule="auto"/>
              <w:jc w:val="both"/>
              <w:rPr>
                <w:rFonts w:ascii="Verdana" w:hAnsi="Verdana"/>
                <w:sz w:val="20"/>
                <w:szCs w:val="20"/>
              </w:rPr>
            </w:pPr>
          </w:p>
        </w:tc>
      </w:tr>
    </w:tbl>
    <w:p w14:paraId="29559279" w14:textId="77777777" w:rsidR="00A02BDF" w:rsidRPr="00BE536E" w:rsidRDefault="00A02BDF" w:rsidP="00D41B68">
      <w:pPr>
        <w:spacing w:after="0"/>
        <w:jc w:val="right"/>
        <w:rPr>
          <w:rFonts w:ascii="Verdana" w:hAnsi="Verdana" w:cs="Arial"/>
          <w:b/>
        </w:rPr>
      </w:pPr>
    </w:p>
    <w:p w14:paraId="52E0FB88" w14:textId="77777777" w:rsidR="00A02BDF" w:rsidRPr="00BE536E" w:rsidRDefault="00A02BDF">
      <w:pPr>
        <w:spacing w:after="0" w:line="240" w:lineRule="auto"/>
        <w:rPr>
          <w:rFonts w:ascii="Verdana" w:hAnsi="Verdana" w:cs="Arial"/>
          <w:b/>
        </w:rPr>
      </w:pPr>
      <w:r w:rsidRPr="00BE536E">
        <w:rPr>
          <w:rFonts w:ascii="Verdana" w:hAnsi="Verdana" w:cs="Arial"/>
          <w:b/>
        </w:rPr>
        <w:br w:type="page"/>
      </w:r>
    </w:p>
    <w:p w14:paraId="1C1E6680" w14:textId="511EF779" w:rsidR="00036E09" w:rsidRPr="00BE536E" w:rsidRDefault="00D704B3" w:rsidP="00D704B3">
      <w:pPr>
        <w:pStyle w:val="10"/>
        <w:numPr>
          <w:ilvl w:val="0"/>
          <w:numId w:val="0"/>
        </w:numPr>
        <w:ind w:left="432"/>
        <w:jc w:val="left"/>
        <w:rPr>
          <w:rFonts w:ascii="Verdana" w:hAnsi="Verdana" w:cs="Arial"/>
          <w:bCs w:val="0"/>
          <w:iCs w:val="0"/>
          <w:caps/>
          <w:smallCaps w:val="0"/>
          <w:color w:val="943634"/>
          <w:sz w:val="24"/>
        </w:rPr>
      </w:pPr>
      <w:bookmarkStart w:id="27" w:name="_Toc27400772"/>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14</w:t>
      </w:r>
      <w:r w:rsidRPr="00BE536E">
        <w:rPr>
          <w:rFonts w:ascii="Verdana" w:hAnsi="Verdana" w:cs="Arial"/>
          <w:b w:val="0"/>
          <w:bCs w:val="0"/>
          <w:iCs w:val="0"/>
          <w:caps/>
          <w:smallCaps w:val="0"/>
          <w:color w:val="943634"/>
          <w:sz w:val="24"/>
        </w:rPr>
        <w:t xml:space="preserve">. </w:t>
      </w:r>
      <w:r w:rsidR="005C36D4" w:rsidRPr="00BE536E">
        <w:rPr>
          <w:rFonts w:ascii="Verdana" w:hAnsi="Verdana" w:cs="Arial"/>
          <w:bCs w:val="0"/>
          <w:iCs w:val="0"/>
          <w:caps/>
          <w:smallCaps w:val="0"/>
          <w:color w:val="943634"/>
          <w:sz w:val="24"/>
        </w:rPr>
        <w:t>Дебиторская задолженность по д</w:t>
      </w:r>
      <w:r w:rsidR="00F21958" w:rsidRPr="00BE536E">
        <w:rPr>
          <w:rFonts w:ascii="Verdana" w:hAnsi="Verdana" w:cs="Arial"/>
          <w:bCs w:val="0"/>
          <w:iCs w:val="0"/>
          <w:caps/>
          <w:smallCaps w:val="0"/>
          <w:color w:val="943634"/>
          <w:sz w:val="24"/>
        </w:rPr>
        <w:t>оход</w:t>
      </w:r>
      <w:r w:rsidR="005C36D4" w:rsidRPr="00BE536E">
        <w:rPr>
          <w:rFonts w:ascii="Verdana" w:hAnsi="Verdana" w:cs="Arial"/>
          <w:bCs w:val="0"/>
          <w:iCs w:val="0"/>
          <w:caps/>
          <w:smallCaps w:val="0"/>
          <w:color w:val="943634"/>
          <w:sz w:val="24"/>
        </w:rPr>
        <w:t>ам</w:t>
      </w:r>
      <w:r w:rsidR="00F21958" w:rsidRPr="00BE536E">
        <w:rPr>
          <w:rFonts w:ascii="Verdana" w:hAnsi="Verdana" w:cs="Arial"/>
          <w:bCs w:val="0"/>
          <w:iCs w:val="0"/>
          <w:caps/>
          <w:smallCaps w:val="0"/>
          <w:color w:val="943634"/>
          <w:sz w:val="24"/>
        </w:rPr>
        <w:t xml:space="preserve"> </w:t>
      </w:r>
      <w:r w:rsidR="00342C77" w:rsidRPr="00BE536E">
        <w:rPr>
          <w:rFonts w:ascii="Verdana" w:hAnsi="Verdana" w:cs="Arial"/>
          <w:bCs w:val="0"/>
          <w:iCs w:val="0"/>
          <w:caps/>
          <w:smallCaps w:val="0"/>
          <w:color w:val="943634"/>
          <w:sz w:val="24"/>
        </w:rPr>
        <w:t xml:space="preserve">инвестиционных </w:t>
      </w:r>
      <w:r w:rsidR="00F21958" w:rsidRPr="00BE536E">
        <w:rPr>
          <w:rFonts w:ascii="Verdana" w:hAnsi="Verdana" w:cs="Arial"/>
          <w:bCs w:val="0"/>
          <w:iCs w:val="0"/>
          <w:caps/>
          <w:smallCaps w:val="0"/>
          <w:color w:val="943634"/>
          <w:sz w:val="24"/>
        </w:rPr>
        <w:t>п</w:t>
      </w:r>
      <w:r w:rsidR="00036E09" w:rsidRPr="00BE536E">
        <w:rPr>
          <w:rFonts w:ascii="Verdana" w:hAnsi="Verdana" w:cs="Arial"/>
          <w:bCs w:val="0"/>
          <w:iCs w:val="0"/>
          <w:caps/>
          <w:smallCaps w:val="0"/>
          <w:color w:val="943634"/>
          <w:sz w:val="24"/>
        </w:rPr>
        <w:t>а</w:t>
      </w:r>
      <w:r w:rsidR="005C36D4" w:rsidRPr="00BE536E">
        <w:rPr>
          <w:rFonts w:ascii="Verdana" w:hAnsi="Verdana" w:cs="Arial"/>
          <w:bCs w:val="0"/>
          <w:iCs w:val="0"/>
          <w:caps/>
          <w:smallCaps w:val="0"/>
          <w:color w:val="943634"/>
          <w:sz w:val="24"/>
        </w:rPr>
        <w:t>ев</w:t>
      </w:r>
      <w:r w:rsidR="00036E09" w:rsidRPr="00BE536E">
        <w:rPr>
          <w:rFonts w:ascii="Verdana" w:hAnsi="Verdana" w:cs="Arial"/>
          <w:bCs w:val="0"/>
          <w:iCs w:val="0"/>
          <w:caps/>
          <w:smallCaps w:val="0"/>
          <w:color w:val="943634"/>
          <w:sz w:val="24"/>
        </w:rPr>
        <w:t xml:space="preserve"> </w:t>
      </w:r>
      <w:r w:rsidR="001D39D1" w:rsidRPr="00BE536E">
        <w:rPr>
          <w:rFonts w:ascii="Verdana" w:hAnsi="Verdana" w:cs="Arial"/>
          <w:bCs w:val="0"/>
          <w:iCs w:val="0"/>
          <w:caps/>
          <w:smallCaps w:val="0"/>
          <w:color w:val="943634"/>
          <w:sz w:val="24"/>
        </w:rPr>
        <w:t>российских</w:t>
      </w:r>
      <w:r w:rsidRPr="00BE536E">
        <w:rPr>
          <w:rFonts w:ascii="Verdana" w:hAnsi="Verdana" w:cs="Arial"/>
          <w:bCs w:val="0"/>
          <w:iCs w:val="0"/>
          <w:caps/>
          <w:smallCaps w:val="0"/>
          <w:color w:val="943634"/>
          <w:sz w:val="24"/>
        </w:rPr>
        <w:t xml:space="preserve"> </w:t>
      </w:r>
      <w:r w:rsidR="00036E09" w:rsidRPr="00BE536E">
        <w:rPr>
          <w:rFonts w:ascii="Verdana" w:hAnsi="Verdana" w:cs="Arial"/>
          <w:bCs w:val="0"/>
          <w:iCs w:val="0"/>
          <w:caps/>
          <w:smallCaps w:val="0"/>
          <w:color w:val="943634"/>
          <w:sz w:val="24"/>
        </w:rPr>
        <w:t xml:space="preserve">ПИФ, паи которых входят в состав имущества </w:t>
      </w:r>
      <w:r w:rsidR="0092715D" w:rsidRPr="00BE536E">
        <w:rPr>
          <w:rFonts w:ascii="Verdana" w:hAnsi="Verdana" w:cs="Arial"/>
          <w:bCs w:val="0"/>
          <w:iCs w:val="0"/>
          <w:caps/>
          <w:smallCaps w:val="0"/>
          <w:color w:val="943634"/>
          <w:sz w:val="24"/>
        </w:rPr>
        <w:t>ПИФ</w:t>
      </w:r>
      <w:r w:rsidR="002A73BA" w:rsidRPr="00BE536E">
        <w:rPr>
          <w:rFonts w:ascii="Verdana" w:hAnsi="Verdana" w:cs="Arial"/>
          <w:bCs w:val="0"/>
          <w:iCs w:val="0"/>
          <w:caps/>
          <w:smallCaps w:val="0"/>
          <w:color w:val="943634"/>
          <w:sz w:val="24"/>
        </w:rPr>
        <w:t>, по доходам от долевого участия в уставном капитале</w:t>
      </w:r>
      <w:bookmarkEnd w:id="27"/>
      <w:r w:rsidR="000109AD" w:rsidRPr="00BE536E">
        <w:rPr>
          <w:rFonts w:ascii="Verdana" w:hAnsi="Verdana" w:cs="Arial"/>
          <w:bCs w:val="0"/>
          <w:iCs w:val="0"/>
          <w:caps/>
          <w:smallCaps w:val="0"/>
          <w:color w:val="943634"/>
          <w:sz w:val="24"/>
        </w:rPr>
        <w:t xml:space="preserve"> </w:t>
      </w:r>
    </w:p>
    <w:p w14:paraId="554F0B06" w14:textId="77777777" w:rsidR="000109AD" w:rsidRPr="00BE536E" w:rsidRDefault="000109AD" w:rsidP="00D94BA7">
      <w:pPr>
        <w:rPr>
          <w:rFonts w:ascii="Verdana" w:hAnsi="Verdana"/>
          <w:b/>
          <w:bCs/>
          <w:iCs/>
          <w:smallCaps/>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BE536E" w14:paraId="4D638402" w14:textId="77777777" w:rsidTr="00D11056">
        <w:trPr>
          <w:trHeight w:val="519"/>
        </w:trPr>
        <w:tc>
          <w:tcPr>
            <w:tcW w:w="1984" w:type="dxa"/>
            <w:shd w:val="clear" w:color="auto" w:fill="A6A6A6"/>
          </w:tcPr>
          <w:p w14:paraId="5466CCCE"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Виды активов</w:t>
            </w:r>
          </w:p>
        </w:tc>
        <w:tc>
          <w:tcPr>
            <w:tcW w:w="7371" w:type="dxa"/>
          </w:tcPr>
          <w:p w14:paraId="06CBDCB2" w14:textId="77777777" w:rsidR="00861078" w:rsidRPr="00BE536E" w:rsidRDefault="00861078" w:rsidP="00861078">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по доходам  инвестиционных паев российских ПИФ и паев (акций) иностранных инвестиционных фондов, паи которых входят в состав имущества ПИФ, по доходам от долевого участия в уставном капитале российских и иностранных компаний.</w:t>
            </w:r>
          </w:p>
          <w:p w14:paraId="55DE54AE" w14:textId="77777777" w:rsidR="00861078" w:rsidRPr="00BE536E" w:rsidRDefault="00861078" w:rsidP="00861078">
            <w:pPr>
              <w:spacing w:after="0" w:line="240" w:lineRule="auto"/>
              <w:jc w:val="both"/>
              <w:rPr>
                <w:rFonts w:ascii="Verdana" w:hAnsi="Verdana" w:cs="Verdana"/>
                <w:b/>
                <w:sz w:val="20"/>
                <w:szCs w:val="20"/>
              </w:rPr>
            </w:pPr>
          </w:p>
        </w:tc>
      </w:tr>
      <w:tr w:rsidR="00861078" w:rsidRPr="00BE536E" w14:paraId="737DD49C" w14:textId="77777777" w:rsidTr="00D11056">
        <w:trPr>
          <w:trHeight w:val="519"/>
        </w:trPr>
        <w:tc>
          <w:tcPr>
            <w:tcW w:w="1984" w:type="dxa"/>
            <w:shd w:val="clear" w:color="auto" w:fill="A6A6A6"/>
          </w:tcPr>
          <w:p w14:paraId="7DCC10AC"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18A88F6C" w14:textId="77777777" w:rsidR="00861078" w:rsidRPr="00BE536E" w:rsidRDefault="00861078" w:rsidP="00D05311">
            <w:pPr>
              <w:numPr>
                <w:ilvl w:val="0"/>
                <w:numId w:val="73"/>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паи (акции) иностранного инвестиционного фонда, принятые на обслуживание НКО АО НРД -  </w:t>
            </w:r>
            <w:r w:rsidRPr="00BE536E">
              <w:rPr>
                <w:color w:val="000000" w:themeColor="text1"/>
                <w:sz w:val="24"/>
                <w:szCs w:val="24"/>
                <w:lang w:eastAsia="ru-RU"/>
              </w:rPr>
              <w:t xml:space="preserve">дата возникновения обязательства по выплате дохода, указанная в сообщении </w:t>
            </w:r>
            <w:r w:rsidRPr="00BE536E">
              <w:rPr>
                <w:bCs/>
                <w:color w:val="000000" w:themeColor="text1"/>
                <w:sz w:val="24"/>
                <w:szCs w:val="24"/>
                <w:lang w:eastAsia="ru-RU"/>
              </w:rPr>
              <w:t>НКО АО НРД</w:t>
            </w:r>
            <w:r w:rsidRPr="00BE536E">
              <w:rPr>
                <w:color w:val="000000" w:themeColor="text1"/>
                <w:sz w:val="24"/>
                <w:szCs w:val="24"/>
                <w:lang w:eastAsia="ru-RU"/>
              </w:rPr>
              <w:t xml:space="preserve"> о выплате дохода </w:t>
            </w:r>
            <w:r w:rsidRPr="00BE536E">
              <w:rPr>
                <w:bCs/>
                <w:color w:val="000000" w:themeColor="text1"/>
                <w:sz w:val="24"/>
                <w:szCs w:val="24"/>
                <w:lang w:eastAsia="ru-RU"/>
              </w:rPr>
              <w:t>по паям (акциям) инвестиционного фонда ;</w:t>
            </w:r>
          </w:p>
          <w:p w14:paraId="1592DC4F" w14:textId="77777777" w:rsidR="00861078" w:rsidRPr="00BE536E" w:rsidRDefault="00861078" w:rsidP="00D05311">
            <w:pPr>
              <w:numPr>
                <w:ilvl w:val="0"/>
                <w:numId w:val="73"/>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 паи (акции) иностранного инвестиционного фонда, не принятые на обслуживание НКО АО НРД -  дата, с которой ценные бумаги начинают торговаться без учета объявленных дивидендов  (</w:t>
            </w:r>
            <w:r w:rsidRPr="00BE536E">
              <w:rPr>
                <w:bCs/>
                <w:color w:val="000000" w:themeColor="text1"/>
                <w:sz w:val="24"/>
                <w:szCs w:val="24"/>
                <w:lang w:val="en-US" w:eastAsia="ru-RU"/>
              </w:rPr>
              <w:t>DVD</w:t>
            </w:r>
            <w:r w:rsidRPr="00BE536E">
              <w:rPr>
                <w:bCs/>
                <w:color w:val="000000" w:themeColor="text1"/>
                <w:sz w:val="24"/>
                <w:szCs w:val="24"/>
                <w:lang w:eastAsia="ru-RU"/>
              </w:rPr>
              <w:t>_</w:t>
            </w:r>
            <w:r w:rsidRPr="00BE536E">
              <w:rPr>
                <w:bCs/>
                <w:color w:val="000000" w:themeColor="text1"/>
                <w:sz w:val="24"/>
                <w:szCs w:val="24"/>
                <w:lang w:val="en-US" w:eastAsia="ru-RU"/>
              </w:rPr>
              <w:t>EX</w:t>
            </w:r>
            <w:r w:rsidRPr="00BE536E">
              <w:rPr>
                <w:bCs/>
                <w:color w:val="000000" w:themeColor="text1"/>
                <w:sz w:val="24"/>
                <w:szCs w:val="24"/>
                <w:lang w:eastAsia="ru-RU"/>
              </w:rPr>
              <w:t>_</w:t>
            </w:r>
            <w:r w:rsidRPr="00BE536E">
              <w:rPr>
                <w:bCs/>
                <w:color w:val="000000" w:themeColor="text1"/>
                <w:sz w:val="24"/>
                <w:szCs w:val="24"/>
                <w:lang w:val="en-US" w:eastAsia="ru-RU"/>
              </w:rPr>
              <w:t>DT</w:t>
            </w:r>
            <w:r w:rsidRPr="00BE536E">
              <w:rPr>
                <w:bCs/>
                <w:color w:val="000000" w:themeColor="text1"/>
                <w:sz w:val="24"/>
                <w:szCs w:val="24"/>
                <w:lang w:eastAsia="ru-RU"/>
              </w:rPr>
              <w:t xml:space="preserve">) в соответствии с  информацией </w:t>
            </w:r>
            <w:r w:rsidRPr="00BE536E">
              <w:rPr>
                <w:color w:val="000000" w:themeColor="text1"/>
                <w:sz w:val="24"/>
                <w:szCs w:val="24"/>
                <w:lang w:eastAsia="ru-RU"/>
              </w:rPr>
              <w:t>«</w:t>
            </w:r>
            <w:r w:rsidRPr="00BE536E">
              <w:rPr>
                <w:bCs/>
                <w:color w:val="000000" w:themeColor="text1"/>
                <w:sz w:val="24"/>
                <w:szCs w:val="24"/>
                <w:lang w:eastAsia="ru-RU"/>
              </w:rPr>
              <w:t>Блумберг</w:t>
            </w:r>
            <w:r w:rsidRPr="00BE536E">
              <w:rPr>
                <w:color w:val="000000" w:themeColor="text1"/>
                <w:sz w:val="24"/>
                <w:szCs w:val="24"/>
                <w:lang w:eastAsia="ru-RU"/>
              </w:rPr>
              <w:t>» (Bloomberg);</w:t>
            </w:r>
          </w:p>
          <w:p w14:paraId="3E1A6D69" w14:textId="77777777" w:rsidR="00861078" w:rsidRPr="00BE536E" w:rsidRDefault="00861078" w:rsidP="00D05311">
            <w:pPr>
              <w:numPr>
                <w:ilvl w:val="0"/>
                <w:numId w:val="72"/>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 xml:space="preserve">Дата возникновения обязательства по выплате дохода, указанная в раскрытом на официальном сайте управляющей компании сообщении о выплате дохода </w:t>
            </w:r>
            <w:r w:rsidRPr="00BE536E">
              <w:rPr>
                <w:bCs/>
                <w:color w:val="000000" w:themeColor="text1"/>
                <w:sz w:val="24"/>
                <w:szCs w:val="24"/>
                <w:lang w:eastAsia="ru-RU"/>
              </w:rPr>
              <w:t xml:space="preserve">по паям инвестиционного фонда (для неквалифицированных инвесторов); </w:t>
            </w:r>
          </w:p>
          <w:p w14:paraId="16E41D27" w14:textId="77777777" w:rsidR="00861078" w:rsidRPr="00BE536E" w:rsidRDefault="00861078" w:rsidP="00D05311">
            <w:pPr>
              <w:numPr>
                <w:ilvl w:val="0"/>
                <w:numId w:val="72"/>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 xml:space="preserve">Дата возникновения обязательства по выплате дохода, указанная в официальном сообщении о выплате дохода </w:t>
            </w:r>
            <w:r w:rsidRPr="00BE536E">
              <w:rPr>
                <w:bCs/>
                <w:color w:val="000000" w:themeColor="text1"/>
                <w:sz w:val="24"/>
                <w:szCs w:val="24"/>
                <w:lang w:eastAsia="ru-RU"/>
              </w:rPr>
              <w:t xml:space="preserve">по паям инвестиционного фонда, предоставленном управляющей компанией </w:t>
            </w:r>
            <w:r w:rsidRPr="00BE536E">
              <w:rPr>
                <w:color w:val="000000" w:themeColor="text1"/>
                <w:sz w:val="24"/>
                <w:szCs w:val="24"/>
                <w:lang w:eastAsia="ru-RU"/>
              </w:rPr>
              <w:t>владельцам инвестиционных паев (если предусмотрено правилами доверительного управления для квалифицированных инвесторов);</w:t>
            </w:r>
          </w:p>
          <w:p w14:paraId="483F2A00" w14:textId="77777777" w:rsidR="00861078" w:rsidRPr="00BE536E" w:rsidRDefault="00861078" w:rsidP="00D05311">
            <w:pPr>
              <w:numPr>
                <w:ilvl w:val="0"/>
                <w:numId w:val="72"/>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Дата принятия решения общего собрания о выплате дохода от долевого участия в уставном капитале;</w:t>
            </w:r>
          </w:p>
          <w:p w14:paraId="3A3B0AC2" w14:textId="77777777" w:rsidR="00861078" w:rsidRPr="00BE536E" w:rsidRDefault="00861078" w:rsidP="00D05311">
            <w:pPr>
              <w:numPr>
                <w:ilvl w:val="0"/>
                <w:numId w:val="72"/>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Дата зачисления денежных средств на банковский счет управляющей компании Д.У. ПИФ / на счет брокера ПИФ при отсутствии информации из вышеуказанных источников (в том числе размера причитающихся выплат).</w:t>
            </w:r>
          </w:p>
          <w:p w14:paraId="06187644" w14:textId="77777777" w:rsidR="00861078" w:rsidRPr="00BE536E" w:rsidRDefault="00861078" w:rsidP="00861078">
            <w:pPr>
              <w:spacing w:after="0" w:line="240" w:lineRule="auto"/>
              <w:jc w:val="both"/>
              <w:rPr>
                <w:rFonts w:ascii="Verdana" w:eastAsia="Times New Roman" w:hAnsi="Verdana"/>
                <w:iCs/>
                <w:sz w:val="20"/>
                <w:szCs w:val="20"/>
                <w:lang w:eastAsia="ru-RU"/>
              </w:rPr>
            </w:pPr>
          </w:p>
        </w:tc>
      </w:tr>
      <w:tr w:rsidR="00861078" w:rsidRPr="00BE536E" w14:paraId="5EEACC93" w14:textId="77777777" w:rsidTr="00D11056">
        <w:trPr>
          <w:trHeight w:val="1653"/>
        </w:trPr>
        <w:tc>
          <w:tcPr>
            <w:tcW w:w="1984" w:type="dxa"/>
            <w:shd w:val="clear" w:color="auto" w:fill="A6A6A6"/>
          </w:tcPr>
          <w:p w14:paraId="3D525092" w14:textId="77777777" w:rsidR="00861078" w:rsidRPr="00BE536E" w:rsidRDefault="00861078" w:rsidP="00861078">
            <w:pPr>
              <w:jc w:val="both"/>
              <w:rPr>
                <w:rFonts w:ascii="Verdana" w:hAnsi="Verdana"/>
                <w:i/>
                <w:sz w:val="20"/>
                <w:szCs w:val="20"/>
              </w:rPr>
            </w:pPr>
            <w:r w:rsidRPr="00BE536E">
              <w:rPr>
                <w:rFonts w:ascii="Verdana" w:hAnsi="Verdana"/>
                <w:i/>
                <w:sz w:val="20"/>
                <w:szCs w:val="20"/>
              </w:rPr>
              <w:lastRenderedPageBreak/>
              <w:t>Критерии прекращения признания</w:t>
            </w:r>
          </w:p>
        </w:tc>
        <w:tc>
          <w:tcPr>
            <w:tcW w:w="7371" w:type="dxa"/>
          </w:tcPr>
          <w:p w14:paraId="19E9BA19" w14:textId="77777777" w:rsidR="00861078" w:rsidRPr="00BE536E" w:rsidRDefault="00861078" w:rsidP="00567222">
            <w:pPr>
              <w:numPr>
                <w:ilvl w:val="0"/>
                <w:numId w:val="11"/>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исполнения  обязательств по выплате дохода, подтвержденной банковской выпиской с </w:t>
            </w:r>
            <w:r w:rsidRPr="00BE536E">
              <w:rPr>
                <w:rFonts w:ascii="Verdana" w:hAnsi="Verdana" w:cs="Verdana"/>
                <w:sz w:val="20"/>
                <w:szCs w:val="20"/>
              </w:rPr>
              <w:t>расчетного счета управляющей компании Д.У. ПИФ</w:t>
            </w:r>
            <w:r w:rsidRPr="00BE536E">
              <w:rPr>
                <w:rFonts w:ascii="Verdana" w:eastAsia="Times New Roman" w:hAnsi="Verdana"/>
                <w:bCs/>
                <w:color w:val="000000"/>
                <w:sz w:val="20"/>
                <w:szCs w:val="20"/>
                <w:lang w:eastAsia="ru-RU"/>
              </w:rPr>
              <w:t xml:space="preserve"> /отчетом брокера ПИФ;</w:t>
            </w:r>
          </w:p>
          <w:p w14:paraId="36950861" w14:textId="77777777" w:rsidR="00861078" w:rsidRPr="00BE536E" w:rsidRDefault="00861078" w:rsidP="00567222">
            <w:pPr>
              <w:numPr>
                <w:ilvl w:val="0"/>
                <w:numId w:val="11"/>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лица обязанного по ценным бумагам иностранного инвестиционного фонда;</w:t>
            </w:r>
          </w:p>
          <w:p w14:paraId="0E6F4D07" w14:textId="77777777" w:rsidR="00861078" w:rsidRPr="00BE536E" w:rsidRDefault="00861078" w:rsidP="00567222">
            <w:pPr>
              <w:numPr>
                <w:ilvl w:val="0"/>
                <w:numId w:val="11"/>
              </w:numPr>
              <w:spacing w:after="0" w:line="240" w:lineRule="auto"/>
              <w:ind w:left="318" w:hanging="318"/>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исключения из реестра российского паевого инвестиционного фонда.</w:t>
            </w:r>
          </w:p>
        </w:tc>
      </w:tr>
      <w:tr w:rsidR="00861078" w:rsidRPr="00BE536E" w14:paraId="4841558A" w14:textId="77777777" w:rsidTr="00D11056">
        <w:trPr>
          <w:trHeight w:val="1491"/>
        </w:trPr>
        <w:tc>
          <w:tcPr>
            <w:tcW w:w="1984" w:type="dxa"/>
            <w:shd w:val="clear" w:color="auto" w:fill="A6A6A6"/>
          </w:tcPr>
          <w:p w14:paraId="70B704BB"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Критерии и сроки квалификации дебиторской задолженности как   операционной</w:t>
            </w:r>
          </w:p>
          <w:p w14:paraId="383D7843" w14:textId="77777777" w:rsidR="00861078" w:rsidRPr="00BE536E" w:rsidRDefault="00861078" w:rsidP="00861078">
            <w:pPr>
              <w:jc w:val="both"/>
              <w:rPr>
                <w:rFonts w:ascii="Verdana" w:hAnsi="Verdana"/>
                <w:bCs/>
                <w:i/>
                <w:sz w:val="20"/>
                <w:szCs w:val="20"/>
              </w:rPr>
            </w:pPr>
          </w:p>
          <w:p w14:paraId="293B85C5" w14:textId="77777777" w:rsidR="00861078" w:rsidRPr="00BE536E" w:rsidRDefault="00861078" w:rsidP="00861078">
            <w:pPr>
              <w:jc w:val="both"/>
              <w:rPr>
                <w:rFonts w:ascii="Verdana" w:hAnsi="Verdana"/>
                <w:bCs/>
                <w:i/>
                <w:sz w:val="20"/>
                <w:szCs w:val="20"/>
              </w:rPr>
            </w:pPr>
          </w:p>
          <w:p w14:paraId="6B87B1D4" w14:textId="77777777" w:rsidR="00861078" w:rsidRPr="00BE536E" w:rsidRDefault="00861078" w:rsidP="00861078">
            <w:pPr>
              <w:jc w:val="both"/>
              <w:rPr>
                <w:rFonts w:ascii="Verdana" w:hAnsi="Verdana"/>
                <w:bCs/>
                <w:i/>
                <w:sz w:val="20"/>
                <w:szCs w:val="20"/>
              </w:rPr>
            </w:pPr>
          </w:p>
          <w:p w14:paraId="4FBDF4FF" w14:textId="77777777" w:rsidR="00861078" w:rsidRPr="00BE536E" w:rsidRDefault="00861078" w:rsidP="00861078">
            <w:pPr>
              <w:jc w:val="both"/>
              <w:rPr>
                <w:rFonts w:ascii="Verdana" w:hAnsi="Verdana"/>
                <w:bCs/>
                <w:i/>
                <w:sz w:val="20"/>
                <w:szCs w:val="20"/>
              </w:rPr>
            </w:pPr>
          </w:p>
          <w:p w14:paraId="456CB287" w14:textId="77777777" w:rsidR="00861078" w:rsidRPr="00BE536E" w:rsidRDefault="00861078" w:rsidP="00861078">
            <w:pPr>
              <w:jc w:val="both"/>
              <w:rPr>
                <w:rFonts w:ascii="Verdana" w:hAnsi="Verdana"/>
                <w:bCs/>
                <w:i/>
                <w:sz w:val="20"/>
                <w:szCs w:val="20"/>
              </w:rPr>
            </w:pPr>
          </w:p>
          <w:p w14:paraId="7609C15A" w14:textId="77777777" w:rsidR="00861078" w:rsidRPr="00BE536E" w:rsidRDefault="00861078" w:rsidP="00861078">
            <w:pPr>
              <w:jc w:val="both"/>
              <w:rPr>
                <w:rFonts w:ascii="Verdana" w:hAnsi="Verdana"/>
                <w:bCs/>
                <w:i/>
                <w:sz w:val="20"/>
                <w:szCs w:val="20"/>
              </w:rPr>
            </w:pPr>
          </w:p>
          <w:p w14:paraId="6F4B9181"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 </w:t>
            </w:r>
          </w:p>
        </w:tc>
        <w:tc>
          <w:tcPr>
            <w:tcW w:w="7371" w:type="dxa"/>
          </w:tcPr>
          <w:p w14:paraId="4119ECC9"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1A9DBCA7"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p>
          <w:p w14:paraId="305B2025" w14:textId="77777777" w:rsidR="00861078" w:rsidRPr="00BE536E" w:rsidRDefault="00861078" w:rsidP="00D05311">
            <w:pPr>
              <w:numPr>
                <w:ilvl w:val="0"/>
                <w:numId w:val="69"/>
              </w:numPr>
              <w:spacing w:after="0" w:line="240" w:lineRule="auto"/>
              <w:ind w:left="34" w:firstLine="0"/>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течение 25 рабочих дней с даты признания дебиторской задолженности по ценным бумагам российских и иностранных эмитентов, а так же международных корпораций;</w:t>
            </w:r>
          </w:p>
          <w:p w14:paraId="32ECFE3D" w14:textId="77777777" w:rsidR="00861078" w:rsidRPr="00BE536E" w:rsidRDefault="00861078" w:rsidP="00861078">
            <w:pPr>
              <w:spacing w:after="0" w:line="240" w:lineRule="auto"/>
              <w:ind w:left="34"/>
              <w:jc w:val="both"/>
              <w:rPr>
                <w:rFonts w:ascii="Verdana" w:eastAsia="Times New Roman" w:hAnsi="Verdana"/>
                <w:bCs/>
                <w:sz w:val="20"/>
                <w:szCs w:val="20"/>
                <w:lang w:eastAsia="ru-RU"/>
              </w:rPr>
            </w:pPr>
          </w:p>
          <w:p w14:paraId="48E238FC" w14:textId="77777777" w:rsidR="00861078" w:rsidRPr="00BE536E" w:rsidRDefault="00861078" w:rsidP="00D05311">
            <w:pPr>
              <w:numPr>
                <w:ilvl w:val="0"/>
                <w:numId w:val="69"/>
              </w:numPr>
              <w:spacing w:after="0" w:line="240" w:lineRule="auto"/>
              <w:ind w:left="34" w:firstLine="0"/>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течение всего срока, установленного решением о выплате дохода от долевого участия в уставном капитале или иным аналогичным документом, для выплаты дохода, если такой срок не превышает 25 рабочих дней. </w:t>
            </w:r>
          </w:p>
          <w:p w14:paraId="29B0F8AF" w14:textId="77777777" w:rsidR="00861078" w:rsidRPr="00BE536E" w:rsidRDefault="00861078" w:rsidP="00861078">
            <w:pPr>
              <w:spacing w:after="0" w:line="240" w:lineRule="auto"/>
              <w:ind w:left="3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Если установленный срок выплаты дохода от долевого участия  превышает 25 рабочих дней, то дебиторская задолженность по выплате дохода не может быть квалифицирована операционной.</w:t>
            </w:r>
          </w:p>
          <w:p w14:paraId="054122F3" w14:textId="77777777" w:rsidR="00861078" w:rsidRPr="00BE536E" w:rsidRDefault="00861078" w:rsidP="00861078">
            <w:pPr>
              <w:spacing w:after="0" w:line="240" w:lineRule="auto"/>
              <w:jc w:val="both"/>
              <w:rPr>
                <w:rFonts w:ascii="Verdana" w:eastAsia="Times New Roman" w:hAnsi="Verdana"/>
                <w:bCs/>
                <w:sz w:val="20"/>
                <w:szCs w:val="20"/>
                <w:lang w:eastAsia="ru-RU"/>
              </w:rPr>
            </w:pPr>
          </w:p>
          <w:p w14:paraId="2EE681CB" w14:textId="77777777" w:rsidR="00861078" w:rsidRPr="00BE536E" w:rsidRDefault="00861078" w:rsidP="00861078">
            <w:pPr>
              <w:spacing w:after="0" w:line="240" w:lineRule="auto"/>
              <w:jc w:val="both"/>
              <w:rPr>
                <w:rFonts w:ascii="Verdana" w:eastAsia="Times New Roman" w:hAnsi="Verdana"/>
                <w:bCs/>
                <w:sz w:val="20"/>
                <w:szCs w:val="20"/>
                <w:lang w:eastAsia="ru-RU"/>
              </w:rPr>
            </w:pPr>
          </w:p>
          <w:p w14:paraId="5C0E2774" w14:textId="77777777" w:rsidR="00861078" w:rsidRPr="00BE536E" w:rsidRDefault="00861078" w:rsidP="00861078">
            <w:pPr>
              <w:spacing w:after="0" w:line="240" w:lineRule="auto"/>
              <w:rPr>
                <w:rFonts w:ascii="Verdana" w:hAnsi="Verdana"/>
                <w:sz w:val="20"/>
                <w:szCs w:val="20"/>
              </w:rPr>
            </w:pPr>
          </w:p>
          <w:p w14:paraId="260C7DC2" w14:textId="77777777" w:rsidR="00861078" w:rsidRPr="00BE536E" w:rsidRDefault="00861078" w:rsidP="00567222">
            <w:pPr>
              <w:spacing w:after="0" w:line="240" w:lineRule="auto"/>
              <w:ind w:left="284"/>
              <w:jc w:val="both"/>
              <w:rPr>
                <w:rFonts w:ascii="Verdana" w:eastAsia="Times New Roman" w:hAnsi="Verdana"/>
                <w:bCs/>
                <w:color w:val="000000"/>
                <w:sz w:val="20"/>
                <w:szCs w:val="20"/>
                <w:lang w:eastAsia="ru-RU"/>
              </w:rPr>
            </w:pPr>
          </w:p>
        </w:tc>
      </w:tr>
      <w:tr w:rsidR="00861078" w:rsidRPr="00BE536E" w14:paraId="69BD2963" w14:textId="77777777" w:rsidTr="00D11056">
        <w:tc>
          <w:tcPr>
            <w:tcW w:w="1984" w:type="dxa"/>
            <w:shd w:val="clear" w:color="auto" w:fill="A6A6A6"/>
          </w:tcPr>
          <w:p w14:paraId="0D7B75B7"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545F9424" w14:textId="77777777" w:rsidR="00861078" w:rsidRPr="00BE536E" w:rsidRDefault="00861078" w:rsidP="00861078">
            <w:pPr>
              <w:spacing w:after="0" w:line="240" w:lineRule="auto"/>
              <w:rPr>
                <w:rFonts w:ascii="Verdana" w:hAnsi="Verdana"/>
                <w:sz w:val="20"/>
                <w:szCs w:val="20"/>
              </w:rPr>
            </w:pPr>
            <w:r w:rsidRPr="00BE536E">
              <w:rPr>
                <w:rFonts w:ascii="Verdana" w:hAnsi="Verdana"/>
                <w:sz w:val="20"/>
                <w:szCs w:val="20"/>
              </w:rPr>
              <w:t>Оценка справедливой стоимости дебиторской задолженности по доходам п</w:t>
            </w:r>
            <w:r w:rsidRPr="00BE536E">
              <w:rPr>
                <w:rFonts w:ascii="Verdana" w:eastAsia="Times New Roman" w:hAnsi="Verdana"/>
                <w:bCs/>
                <w:color w:val="000000"/>
                <w:sz w:val="20"/>
                <w:szCs w:val="20"/>
                <w:lang w:eastAsia="ru-RU"/>
              </w:rPr>
              <w:t xml:space="preserve">аев российских ПИФ </w:t>
            </w:r>
            <w:r w:rsidRPr="00BE536E">
              <w:rPr>
                <w:rFonts w:ascii="Verdana" w:hAnsi="Verdana" w:cs="Verdana"/>
                <w:sz w:val="20"/>
                <w:szCs w:val="20"/>
              </w:rPr>
              <w:t>и паям (акциям)</w:t>
            </w:r>
            <w:r w:rsidRPr="00BE536E">
              <w:rPr>
                <w:rFonts w:ascii="Verdana" w:eastAsia="Times New Roman" w:hAnsi="Verdana"/>
                <w:bCs/>
                <w:color w:val="000000"/>
                <w:sz w:val="20"/>
                <w:szCs w:val="20"/>
                <w:lang w:eastAsia="ru-RU"/>
              </w:rPr>
              <w:t xml:space="preserve"> иностранных инвестиционных фондов, паи которых входят в состав имущества ПИФ </w:t>
            </w:r>
            <w:r w:rsidRPr="00BE536E">
              <w:rPr>
                <w:rFonts w:ascii="Verdana" w:hAnsi="Verdana"/>
                <w:sz w:val="20"/>
                <w:szCs w:val="20"/>
              </w:rPr>
              <w:t>в течение всего срока квалификации задолженности, как операционной определяется исходя из</w:t>
            </w:r>
            <w:r w:rsidRPr="00BE536E">
              <w:rPr>
                <w:rFonts w:ascii="Verdana" w:eastAsia="Times New Roman" w:hAnsi="Verdana"/>
                <w:bCs/>
                <w:color w:val="000000"/>
                <w:sz w:val="20"/>
                <w:szCs w:val="20"/>
                <w:lang w:eastAsia="ru-RU"/>
              </w:rPr>
              <w:t>:</w:t>
            </w:r>
          </w:p>
          <w:p w14:paraId="71C31ECA" w14:textId="77777777" w:rsidR="00861078" w:rsidRPr="00BE536E" w:rsidRDefault="00861078" w:rsidP="00567222">
            <w:pPr>
              <w:numPr>
                <w:ilvl w:val="0"/>
                <w:numId w:val="6"/>
              </w:numPr>
              <w:spacing w:after="0" w:line="240" w:lineRule="auto"/>
              <w:ind w:left="284" w:hanging="284"/>
              <w:jc w:val="both"/>
              <w:rPr>
                <w:rFonts w:ascii="Verdana" w:hAnsi="Verdana"/>
                <w:sz w:val="20"/>
                <w:szCs w:val="20"/>
              </w:rPr>
            </w:pPr>
            <w:r w:rsidRPr="00BE536E">
              <w:rPr>
                <w:rFonts w:ascii="Verdana" w:hAnsi="Verdana"/>
                <w:sz w:val="20"/>
                <w:szCs w:val="20"/>
              </w:rPr>
              <w:t xml:space="preserve">количества инвестиционных паев ПИФ или </w:t>
            </w:r>
            <w:r w:rsidRPr="00BE536E">
              <w:rPr>
                <w:rFonts w:ascii="Verdana" w:hAnsi="Verdana" w:cs="Verdana"/>
                <w:sz w:val="20"/>
                <w:szCs w:val="20"/>
              </w:rPr>
              <w:t>паев (акций)</w:t>
            </w:r>
            <w:r w:rsidRPr="00BE536E">
              <w:rPr>
                <w:rFonts w:ascii="Verdana" w:eastAsia="Times New Roman" w:hAnsi="Verdana"/>
                <w:bCs/>
                <w:color w:val="000000"/>
                <w:sz w:val="20"/>
                <w:szCs w:val="20"/>
                <w:lang w:eastAsia="ru-RU"/>
              </w:rPr>
              <w:t xml:space="preserve"> иностранных инвестиционных фондов</w:t>
            </w:r>
            <w:r w:rsidRPr="00BE536E">
              <w:rPr>
                <w:rFonts w:ascii="Verdana" w:hAnsi="Verdana"/>
                <w:sz w:val="20"/>
                <w:szCs w:val="20"/>
              </w:rPr>
              <w:t>, паи которых входят в состав имущества ПИФ, учтенных на счете депо ПИФ на дату определения СЧА;</w:t>
            </w:r>
          </w:p>
          <w:p w14:paraId="658112EF" w14:textId="77777777" w:rsidR="00861078" w:rsidRPr="00BE536E" w:rsidRDefault="00861078" w:rsidP="00567222">
            <w:pPr>
              <w:numPr>
                <w:ilvl w:val="0"/>
                <w:numId w:val="6"/>
              </w:numPr>
              <w:spacing w:after="0" w:line="240" w:lineRule="auto"/>
              <w:ind w:left="284" w:hanging="284"/>
              <w:jc w:val="both"/>
              <w:rPr>
                <w:rFonts w:ascii="Verdana" w:hAnsi="Verdana"/>
                <w:sz w:val="20"/>
                <w:szCs w:val="20"/>
              </w:rPr>
            </w:pPr>
            <w:r w:rsidRPr="00BE536E">
              <w:rPr>
                <w:rFonts w:ascii="Verdana" w:hAnsi="Verdana"/>
                <w:sz w:val="20"/>
                <w:szCs w:val="20"/>
              </w:rPr>
              <w:t xml:space="preserve">объявленного размера дохода по инвестиционному паю, </w:t>
            </w:r>
            <w:r w:rsidRPr="00BE536E">
              <w:rPr>
                <w:rFonts w:ascii="Verdana" w:hAnsi="Verdana" w:cs="Verdana"/>
                <w:sz w:val="20"/>
                <w:szCs w:val="20"/>
              </w:rPr>
              <w:t>указанного в сообщении</w:t>
            </w:r>
            <w:r w:rsidRPr="00BE536E">
              <w:rPr>
                <w:rFonts w:ascii="Verdana" w:hAnsi="Verdana"/>
                <w:sz w:val="20"/>
                <w:szCs w:val="20"/>
              </w:rPr>
              <w:t xml:space="preserve"> </w:t>
            </w:r>
            <w:r w:rsidRPr="00BE536E">
              <w:rPr>
                <w:rFonts w:ascii="Verdana" w:hAnsi="Verdana" w:cs="Verdana"/>
                <w:sz w:val="20"/>
                <w:szCs w:val="20"/>
              </w:rPr>
              <w:t>о выплате дохода по инвестиционным паям российских ПИФ и паям (акциям)</w:t>
            </w:r>
            <w:r w:rsidRPr="00BE536E">
              <w:rPr>
                <w:rFonts w:ascii="Verdana" w:eastAsia="Times New Roman" w:hAnsi="Verdana"/>
                <w:bCs/>
                <w:color w:val="000000"/>
                <w:sz w:val="20"/>
                <w:szCs w:val="20"/>
                <w:lang w:eastAsia="ru-RU"/>
              </w:rPr>
              <w:t xml:space="preserve"> иностранных инвестиционных фондов</w:t>
            </w:r>
            <w:r w:rsidRPr="00BE536E">
              <w:rPr>
                <w:rFonts w:ascii="Verdana" w:hAnsi="Verdana" w:cs="Verdana"/>
                <w:sz w:val="20"/>
                <w:szCs w:val="20"/>
              </w:rPr>
              <w:t xml:space="preserve">, </w:t>
            </w:r>
            <w:r w:rsidRPr="00BE536E">
              <w:rPr>
                <w:rFonts w:ascii="Verdana" w:eastAsia="Times New Roman" w:hAnsi="Verdana"/>
                <w:bCs/>
                <w:color w:val="000000"/>
                <w:sz w:val="20"/>
                <w:szCs w:val="20"/>
              </w:rPr>
              <w:t xml:space="preserve">которые входят в состав имущества ПИФ, в соответствии с информацией НКО АО НРД, </w:t>
            </w:r>
            <w:r w:rsidRPr="00BE536E">
              <w:rPr>
                <w:rFonts w:ascii="Verdana" w:eastAsia="Times New Roman" w:hAnsi="Verdana"/>
                <w:bCs/>
                <w:sz w:val="20"/>
                <w:szCs w:val="20"/>
                <w:lang w:eastAsia="ru-RU"/>
              </w:rPr>
              <w:t xml:space="preserve">  информационной системой </w:t>
            </w:r>
            <w:r w:rsidRPr="00BE536E">
              <w:rPr>
                <w:rFonts w:ascii="Verdana" w:hAnsi="Verdana"/>
                <w:sz w:val="20"/>
                <w:szCs w:val="20"/>
              </w:rPr>
              <w:t>"</w:t>
            </w:r>
            <w:r w:rsidRPr="00BE536E">
              <w:rPr>
                <w:rFonts w:ascii="Verdana" w:eastAsia="Times New Roman" w:hAnsi="Verdana"/>
                <w:bCs/>
                <w:sz w:val="20"/>
                <w:szCs w:val="20"/>
                <w:lang w:eastAsia="ru-RU"/>
              </w:rPr>
              <w:t>Блумберг</w:t>
            </w:r>
            <w:r w:rsidRPr="00BE536E">
              <w:rPr>
                <w:rFonts w:ascii="Verdana" w:hAnsi="Verdana"/>
                <w:sz w:val="20"/>
                <w:szCs w:val="20"/>
              </w:rPr>
              <w:t>" (Bloomberg)</w:t>
            </w:r>
            <w:r w:rsidRPr="00BE536E">
              <w:rPr>
                <w:rFonts w:ascii="Verdana" w:eastAsia="Times New Roman" w:hAnsi="Verdana"/>
                <w:bCs/>
                <w:color w:val="000000"/>
                <w:sz w:val="20"/>
                <w:szCs w:val="20"/>
              </w:rPr>
              <w:t xml:space="preserve"> или официальным сайтом (официальным письмом) управляющей компании</w:t>
            </w:r>
            <w:r w:rsidRPr="00BE536E">
              <w:rPr>
                <w:rFonts w:ascii="Verdana" w:hAnsi="Verdana"/>
                <w:sz w:val="20"/>
                <w:szCs w:val="20"/>
              </w:rPr>
              <w:t>.</w:t>
            </w:r>
          </w:p>
          <w:p w14:paraId="23C035DD" w14:textId="77777777" w:rsidR="00861078" w:rsidRPr="00BE536E" w:rsidRDefault="00861078" w:rsidP="00861078">
            <w:pPr>
              <w:spacing w:after="0" w:line="240" w:lineRule="auto"/>
              <w:ind w:left="34"/>
              <w:jc w:val="both"/>
              <w:rPr>
                <w:rFonts w:ascii="Verdana" w:hAnsi="Verdana"/>
                <w:sz w:val="20"/>
                <w:szCs w:val="20"/>
              </w:rPr>
            </w:pPr>
            <w:r w:rsidRPr="00BE536E">
              <w:rPr>
                <w:rFonts w:ascii="Verdana" w:hAnsi="Verdana"/>
                <w:sz w:val="20"/>
                <w:szCs w:val="20"/>
              </w:rPr>
              <w:t>Оценка справедливой стоимости дебиторской задолженности по доходам от долевого участия в уставном капитале в течение всего срока квалификации задолженности как операционной определяется в сумме объявленного дохода на долю владения.</w:t>
            </w:r>
          </w:p>
          <w:p w14:paraId="1FDF2D5D" w14:textId="77777777" w:rsidR="00861078" w:rsidRPr="00BE536E" w:rsidRDefault="00861078" w:rsidP="00861078">
            <w:pPr>
              <w:spacing w:after="0" w:line="240" w:lineRule="auto"/>
              <w:ind w:left="34"/>
              <w:jc w:val="both"/>
              <w:rPr>
                <w:rFonts w:ascii="Verdana" w:hAnsi="Verdana"/>
                <w:sz w:val="20"/>
                <w:szCs w:val="20"/>
              </w:rPr>
            </w:pPr>
          </w:p>
          <w:p w14:paraId="4FDC069A"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lastRenderedPageBreak/>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46F6162A" w14:textId="77777777" w:rsidR="00861078" w:rsidRPr="00BE536E" w:rsidRDefault="00861078" w:rsidP="00861078">
            <w:pPr>
              <w:spacing w:after="0" w:line="240" w:lineRule="auto"/>
              <w:ind w:left="34"/>
              <w:jc w:val="both"/>
              <w:rPr>
                <w:rFonts w:ascii="Verdana" w:hAnsi="Verdana"/>
                <w:sz w:val="20"/>
                <w:szCs w:val="20"/>
              </w:rPr>
            </w:pPr>
          </w:p>
        </w:tc>
      </w:tr>
      <w:tr w:rsidR="00861078" w:rsidRPr="00BE536E" w14:paraId="1CC7C34B" w14:textId="77777777" w:rsidTr="00D11056">
        <w:trPr>
          <w:trHeight w:val="415"/>
        </w:trPr>
        <w:tc>
          <w:tcPr>
            <w:tcW w:w="1984" w:type="dxa"/>
            <w:shd w:val="clear" w:color="auto" w:fill="A6A6A6"/>
          </w:tcPr>
          <w:p w14:paraId="18E9BCE5" w14:textId="77777777" w:rsidR="00861078" w:rsidRPr="00BE536E" w:rsidRDefault="00861078" w:rsidP="00861078">
            <w:pPr>
              <w:jc w:val="both"/>
              <w:rPr>
                <w:rFonts w:ascii="Verdana" w:hAnsi="Verdana"/>
                <w:i/>
                <w:sz w:val="20"/>
                <w:szCs w:val="20"/>
              </w:rPr>
            </w:pPr>
            <w:r w:rsidRPr="00BE536E">
              <w:rPr>
                <w:rFonts w:ascii="Verdana" w:hAnsi="Verdana"/>
                <w:i/>
                <w:sz w:val="20"/>
                <w:szCs w:val="20"/>
              </w:rPr>
              <w:lastRenderedPageBreak/>
              <w:t xml:space="preserve">Дата и события, приводящие к обесценению </w:t>
            </w:r>
          </w:p>
        </w:tc>
        <w:tc>
          <w:tcPr>
            <w:tcW w:w="7371" w:type="dxa"/>
          </w:tcPr>
          <w:p w14:paraId="5A004F51" w14:textId="77777777" w:rsidR="00861078" w:rsidRPr="00BE536E" w:rsidRDefault="00861078" w:rsidP="00861078">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58EFC41F" w14:textId="77777777" w:rsidR="00861078" w:rsidRPr="00BE536E" w:rsidRDefault="00861078" w:rsidP="00861078">
            <w:pPr>
              <w:autoSpaceDE w:val="0"/>
              <w:autoSpaceDN w:val="0"/>
              <w:spacing w:after="0" w:line="240" w:lineRule="auto"/>
              <w:jc w:val="both"/>
              <w:rPr>
                <w:rFonts w:ascii="Verdana" w:hAnsi="Verdana"/>
                <w:sz w:val="20"/>
                <w:szCs w:val="20"/>
              </w:rPr>
            </w:pPr>
          </w:p>
          <w:p w14:paraId="0143B01C" w14:textId="77777777" w:rsidR="00861078" w:rsidRPr="00BE536E" w:rsidRDefault="00861078" w:rsidP="00861078">
            <w:pPr>
              <w:autoSpaceDE w:val="0"/>
              <w:autoSpaceDN w:val="0"/>
              <w:adjustRightInd w:val="0"/>
              <w:spacing w:before="120" w:after="0" w:line="240" w:lineRule="auto"/>
              <w:ind w:left="34"/>
              <w:jc w:val="both"/>
              <w:rPr>
                <w:rFonts w:ascii="Verdana" w:hAnsi="Verdana" w:cs="Verdana"/>
                <w:sz w:val="20"/>
                <w:szCs w:val="20"/>
              </w:rPr>
            </w:pPr>
          </w:p>
        </w:tc>
      </w:tr>
    </w:tbl>
    <w:p w14:paraId="369BD2AA" w14:textId="77777777" w:rsidR="003950C6" w:rsidRPr="00BE536E" w:rsidRDefault="003950C6" w:rsidP="007E0B19">
      <w:pPr>
        <w:ind w:firstLine="720"/>
        <w:jc w:val="both"/>
        <w:rPr>
          <w:rFonts w:ascii="Verdana" w:hAnsi="Verdana"/>
          <w:sz w:val="20"/>
          <w:szCs w:val="20"/>
        </w:rPr>
      </w:pPr>
    </w:p>
    <w:p w14:paraId="12ED8E80" w14:textId="77777777" w:rsidR="00370795" w:rsidRPr="00BE536E" w:rsidRDefault="00370795" w:rsidP="007E0B19">
      <w:pPr>
        <w:ind w:firstLine="720"/>
        <w:jc w:val="both"/>
        <w:rPr>
          <w:rFonts w:ascii="Verdana" w:hAnsi="Verdana"/>
          <w:sz w:val="20"/>
          <w:szCs w:val="20"/>
        </w:rPr>
      </w:pPr>
    </w:p>
    <w:p w14:paraId="3E809247" w14:textId="77777777" w:rsidR="00F72076" w:rsidRPr="00BE536E" w:rsidRDefault="00F72076" w:rsidP="007E0B19">
      <w:pPr>
        <w:ind w:firstLine="720"/>
        <w:jc w:val="both"/>
        <w:rPr>
          <w:rFonts w:ascii="Verdana" w:hAnsi="Verdana"/>
          <w:sz w:val="20"/>
          <w:szCs w:val="20"/>
        </w:rPr>
      </w:pPr>
    </w:p>
    <w:p w14:paraId="65787619" w14:textId="77777777" w:rsidR="00F72076" w:rsidRPr="00BE536E" w:rsidRDefault="00F72076" w:rsidP="007E0B19">
      <w:pPr>
        <w:ind w:firstLine="720"/>
        <w:jc w:val="both"/>
        <w:rPr>
          <w:rFonts w:ascii="Verdana" w:hAnsi="Verdana"/>
          <w:sz w:val="20"/>
          <w:szCs w:val="20"/>
        </w:rPr>
      </w:pPr>
    </w:p>
    <w:p w14:paraId="595781C9" w14:textId="77777777" w:rsidR="00305ACB" w:rsidRPr="00BE536E" w:rsidRDefault="00305ACB" w:rsidP="007E0B19">
      <w:pPr>
        <w:ind w:firstLine="720"/>
        <w:jc w:val="both"/>
        <w:rPr>
          <w:rFonts w:ascii="Verdana" w:hAnsi="Verdana"/>
          <w:sz w:val="20"/>
          <w:szCs w:val="20"/>
        </w:rPr>
      </w:pPr>
    </w:p>
    <w:p w14:paraId="0D1ADAA8" w14:textId="77777777" w:rsidR="00305ACB" w:rsidRPr="00BE536E" w:rsidRDefault="00305ACB" w:rsidP="007E0B19">
      <w:pPr>
        <w:ind w:firstLine="720"/>
        <w:jc w:val="both"/>
        <w:rPr>
          <w:rFonts w:ascii="Verdana" w:hAnsi="Verdana"/>
          <w:sz w:val="20"/>
          <w:szCs w:val="20"/>
        </w:rPr>
      </w:pPr>
    </w:p>
    <w:p w14:paraId="5A432251" w14:textId="77777777" w:rsidR="00305ACB" w:rsidRPr="00BE536E" w:rsidRDefault="00305ACB" w:rsidP="007E0B19">
      <w:pPr>
        <w:ind w:firstLine="720"/>
        <w:jc w:val="both"/>
        <w:rPr>
          <w:rFonts w:ascii="Verdana" w:hAnsi="Verdana"/>
          <w:sz w:val="20"/>
          <w:szCs w:val="20"/>
        </w:rPr>
      </w:pPr>
    </w:p>
    <w:p w14:paraId="5C885B9C" w14:textId="77777777" w:rsidR="00305ACB" w:rsidRPr="00BE536E" w:rsidRDefault="00305ACB" w:rsidP="007E0B19">
      <w:pPr>
        <w:ind w:firstLine="720"/>
        <w:jc w:val="both"/>
        <w:rPr>
          <w:rFonts w:ascii="Verdana" w:hAnsi="Verdana"/>
          <w:sz w:val="20"/>
          <w:szCs w:val="20"/>
        </w:rPr>
      </w:pPr>
    </w:p>
    <w:p w14:paraId="762F55DF" w14:textId="77777777" w:rsidR="00305ACB" w:rsidRPr="00BE536E" w:rsidRDefault="00305ACB" w:rsidP="007E0B19">
      <w:pPr>
        <w:ind w:firstLine="720"/>
        <w:jc w:val="both"/>
        <w:rPr>
          <w:rFonts w:ascii="Verdana" w:hAnsi="Verdana"/>
          <w:sz w:val="20"/>
          <w:szCs w:val="20"/>
        </w:rPr>
      </w:pPr>
    </w:p>
    <w:p w14:paraId="10FE42ED" w14:textId="77777777" w:rsidR="00305ACB" w:rsidRPr="00BE536E" w:rsidRDefault="00305ACB" w:rsidP="007E0B19">
      <w:pPr>
        <w:ind w:firstLine="720"/>
        <w:jc w:val="both"/>
        <w:rPr>
          <w:rFonts w:ascii="Verdana" w:hAnsi="Verdana"/>
          <w:sz w:val="20"/>
          <w:szCs w:val="20"/>
        </w:rPr>
      </w:pPr>
    </w:p>
    <w:p w14:paraId="055A3BC4" w14:textId="77777777" w:rsidR="00305ACB" w:rsidRPr="00BE536E" w:rsidRDefault="00305ACB" w:rsidP="007E0B19">
      <w:pPr>
        <w:ind w:firstLine="720"/>
        <w:jc w:val="both"/>
        <w:rPr>
          <w:rFonts w:ascii="Verdana" w:hAnsi="Verdana"/>
          <w:sz w:val="20"/>
          <w:szCs w:val="20"/>
        </w:rPr>
      </w:pPr>
    </w:p>
    <w:p w14:paraId="71B3947C" w14:textId="77777777" w:rsidR="00305ACB" w:rsidRPr="00BE536E" w:rsidRDefault="00305ACB" w:rsidP="007E0B19">
      <w:pPr>
        <w:ind w:firstLine="720"/>
        <w:jc w:val="both"/>
        <w:rPr>
          <w:rFonts w:ascii="Verdana" w:hAnsi="Verdana"/>
          <w:sz w:val="20"/>
          <w:szCs w:val="20"/>
        </w:rPr>
      </w:pPr>
    </w:p>
    <w:p w14:paraId="1154416D" w14:textId="77777777" w:rsidR="00305ACB" w:rsidRPr="00BE536E" w:rsidRDefault="00305ACB" w:rsidP="007E0B19">
      <w:pPr>
        <w:ind w:firstLine="720"/>
        <w:jc w:val="both"/>
        <w:rPr>
          <w:rFonts w:ascii="Verdana" w:hAnsi="Verdana"/>
          <w:sz w:val="20"/>
          <w:szCs w:val="20"/>
        </w:rPr>
      </w:pPr>
    </w:p>
    <w:p w14:paraId="685EA71F" w14:textId="77777777" w:rsidR="00305ACB" w:rsidRPr="00BE536E" w:rsidRDefault="00305ACB" w:rsidP="007E0B19">
      <w:pPr>
        <w:ind w:firstLine="720"/>
        <w:jc w:val="both"/>
        <w:rPr>
          <w:rFonts w:ascii="Verdana" w:hAnsi="Verdana"/>
          <w:sz w:val="20"/>
          <w:szCs w:val="20"/>
        </w:rPr>
      </w:pPr>
    </w:p>
    <w:p w14:paraId="123E36C4" w14:textId="77777777" w:rsidR="00305ACB" w:rsidRPr="00BE536E" w:rsidRDefault="00305ACB" w:rsidP="007E0B19">
      <w:pPr>
        <w:ind w:firstLine="720"/>
        <w:jc w:val="both"/>
        <w:rPr>
          <w:rFonts w:ascii="Verdana" w:hAnsi="Verdana"/>
          <w:sz w:val="20"/>
          <w:szCs w:val="20"/>
        </w:rPr>
      </w:pPr>
    </w:p>
    <w:p w14:paraId="77C7C342" w14:textId="77777777" w:rsidR="00305ACB" w:rsidRPr="00BE536E" w:rsidRDefault="00305ACB" w:rsidP="007E0B19">
      <w:pPr>
        <w:ind w:firstLine="720"/>
        <w:jc w:val="both"/>
        <w:rPr>
          <w:rFonts w:ascii="Verdana" w:hAnsi="Verdana"/>
          <w:sz w:val="20"/>
          <w:szCs w:val="20"/>
        </w:rPr>
      </w:pPr>
    </w:p>
    <w:p w14:paraId="459AB4CF" w14:textId="77777777" w:rsidR="00305ACB" w:rsidRPr="00BE536E" w:rsidRDefault="00305ACB" w:rsidP="007E0B19">
      <w:pPr>
        <w:ind w:firstLine="720"/>
        <w:jc w:val="both"/>
        <w:rPr>
          <w:rFonts w:ascii="Verdana" w:hAnsi="Verdana"/>
          <w:sz w:val="20"/>
          <w:szCs w:val="20"/>
        </w:rPr>
      </w:pPr>
    </w:p>
    <w:p w14:paraId="5B175086" w14:textId="77777777" w:rsidR="00305ACB" w:rsidRPr="00BE536E" w:rsidRDefault="00305ACB" w:rsidP="007E0B19">
      <w:pPr>
        <w:ind w:firstLine="720"/>
        <w:jc w:val="both"/>
        <w:rPr>
          <w:rFonts w:ascii="Verdana" w:hAnsi="Verdana"/>
          <w:sz w:val="20"/>
          <w:szCs w:val="20"/>
        </w:rPr>
      </w:pPr>
    </w:p>
    <w:p w14:paraId="28791107" w14:textId="77777777" w:rsidR="00305ACB" w:rsidRPr="00BE536E" w:rsidRDefault="00305ACB" w:rsidP="007E0B19">
      <w:pPr>
        <w:ind w:firstLine="720"/>
        <w:jc w:val="both"/>
        <w:rPr>
          <w:rFonts w:ascii="Verdana" w:hAnsi="Verdana"/>
          <w:sz w:val="20"/>
          <w:szCs w:val="20"/>
        </w:rPr>
      </w:pPr>
    </w:p>
    <w:p w14:paraId="478F060B" w14:textId="77777777" w:rsidR="00F72076" w:rsidRPr="00BE536E" w:rsidRDefault="00F72076" w:rsidP="007E0B19">
      <w:pPr>
        <w:ind w:firstLine="720"/>
        <w:jc w:val="both"/>
        <w:rPr>
          <w:rFonts w:ascii="Verdana" w:hAnsi="Verdana"/>
          <w:sz w:val="20"/>
          <w:szCs w:val="20"/>
        </w:rPr>
      </w:pPr>
    </w:p>
    <w:p w14:paraId="54E7BF4B" w14:textId="61AE91F9"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15</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дебиторская задолженность по</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Денежным средствам, находящиМся у профессиональных участников рынка ценных бумаг и в НКО НКЦ (АО)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668E5962" w14:textId="77777777" w:rsidTr="00C819D7">
        <w:trPr>
          <w:trHeight w:val="363"/>
        </w:trPr>
        <w:tc>
          <w:tcPr>
            <w:tcW w:w="1984" w:type="dxa"/>
            <w:shd w:val="clear" w:color="auto" w:fill="A6A6A6"/>
          </w:tcPr>
          <w:p w14:paraId="59A27E48"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49D3686C" w14:textId="77777777" w:rsidR="009C22F7" w:rsidRPr="00BE536E" w:rsidRDefault="009C22F7" w:rsidP="00D05311">
            <w:pPr>
              <w:numPr>
                <w:ilvl w:val="0"/>
                <w:numId w:val="77"/>
              </w:numPr>
              <w:spacing w:after="0" w:line="240" w:lineRule="auto"/>
              <w:ind w:left="45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по денежным средствам, находящимся у профессиональных участников рынка ценных бумаг (далее – брокер);</w:t>
            </w:r>
          </w:p>
          <w:p w14:paraId="4E59D006" w14:textId="77777777" w:rsidR="009C22F7" w:rsidRPr="00BE536E" w:rsidRDefault="009C22F7" w:rsidP="00D05311">
            <w:pPr>
              <w:numPr>
                <w:ilvl w:val="0"/>
                <w:numId w:val="77"/>
              </w:numPr>
              <w:spacing w:after="0" w:line="240" w:lineRule="auto"/>
              <w:ind w:left="459"/>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по денежным средствам, находящимся  на счете в НКО НКЦ (АО).</w:t>
            </w:r>
          </w:p>
        </w:tc>
      </w:tr>
      <w:tr w:rsidR="009C22F7" w:rsidRPr="00BE536E" w14:paraId="54648EA5" w14:textId="77777777" w:rsidTr="00C819D7">
        <w:trPr>
          <w:trHeight w:val="613"/>
        </w:trPr>
        <w:tc>
          <w:tcPr>
            <w:tcW w:w="1984" w:type="dxa"/>
            <w:shd w:val="clear" w:color="auto" w:fill="A6A6A6"/>
          </w:tcPr>
          <w:p w14:paraId="7E07F152"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11C1C623" w14:textId="77777777" w:rsidR="009C22F7" w:rsidRPr="00BE536E" w:rsidRDefault="009C22F7" w:rsidP="00D05311">
            <w:pPr>
              <w:numPr>
                <w:ilvl w:val="0"/>
                <w:numId w:val="78"/>
              </w:numPr>
              <w:spacing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денежных средств на специальный брокерский счет на основании отчета брокера;</w:t>
            </w:r>
          </w:p>
          <w:p w14:paraId="51DADD31" w14:textId="77777777" w:rsidR="009C22F7" w:rsidRPr="00BE536E" w:rsidRDefault="009C22F7" w:rsidP="00D05311">
            <w:pPr>
              <w:numPr>
                <w:ilvl w:val="0"/>
                <w:numId w:val="78"/>
              </w:numPr>
              <w:spacing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денежных средств на счет в НКО НКЦ (АО), открытый для ПИФ.</w:t>
            </w:r>
          </w:p>
        </w:tc>
      </w:tr>
      <w:tr w:rsidR="009C22F7" w:rsidRPr="00BE536E" w14:paraId="4A9496B9" w14:textId="77777777" w:rsidTr="00C819D7">
        <w:trPr>
          <w:trHeight w:val="2394"/>
        </w:trPr>
        <w:tc>
          <w:tcPr>
            <w:tcW w:w="1984" w:type="dxa"/>
            <w:shd w:val="clear" w:color="auto" w:fill="A6A6A6"/>
          </w:tcPr>
          <w:p w14:paraId="30C134B9"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7F105C71" w14:textId="77777777" w:rsidR="009C22F7" w:rsidRPr="00BE536E" w:rsidRDefault="009C22F7" w:rsidP="00C819D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исполнения брокером обязательств по перечислению денежных средств с специального брокерского счета/вывод денежных средств со счета в НКО НКЦ (АО);</w:t>
            </w:r>
          </w:p>
          <w:p w14:paraId="31B766F1" w14:textId="77777777" w:rsidR="009C22F7" w:rsidRPr="00BE536E" w:rsidRDefault="009C22F7" w:rsidP="00C819D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решения Банка России об отзыве лицензии у брокера (денежные средства переходят в статус прочей дебиторской задолженности);</w:t>
            </w:r>
          </w:p>
          <w:p w14:paraId="63F50A2F" w14:textId="77777777" w:rsidR="009C22F7" w:rsidRPr="00BE536E" w:rsidRDefault="009C22F7" w:rsidP="00C819D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брокера согласно информации, раскрытой в официальном доступном источнике (в том числе записи в ЕГРЮЛ о ликвидации брокера).</w:t>
            </w:r>
          </w:p>
        </w:tc>
      </w:tr>
      <w:tr w:rsidR="009C22F7" w:rsidRPr="00BE536E" w14:paraId="1AAFDB40" w14:textId="77777777" w:rsidTr="00C819D7">
        <w:trPr>
          <w:trHeight w:val="699"/>
        </w:trPr>
        <w:tc>
          <w:tcPr>
            <w:tcW w:w="1984" w:type="dxa"/>
            <w:shd w:val="clear" w:color="auto" w:fill="A6A6A6"/>
          </w:tcPr>
          <w:p w14:paraId="41671564"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и сроки квалификации дебиторской задолженности как   операционной</w:t>
            </w:r>
          </w:p>
          <w:p w14:paraId="2AAC8388" w14:textId="77777777" w:rsidR="009C22F7" w:rsidRPr="00BE536E" w:rsidRDefault="009C22F7" w:rsidP="00C819D7">
            <w:pPr>
              <w:jc w:val="both"/>
              <w:rPr>
                <w:rFonts w:ascii="Verdana" w:hAnsi="Verdana"/>
                <w:bCs/>
                <w:i/>
                <w:sz w:val="20"/>
                <w:szCs w:val="20"/>
              </w:rPr>
            </w:pPr>
          </w:p>
        </w:tc>
        <w:tc>
          <w:tcPr>
            <w:tcW w:w="7371" w:type="dxa"/>
          </w:tcPr>
          <w:p w14:paraId="373EC8F4" w14:textId="77777777" w:rsidR="009C22F7" w:rsidRPr="00BE536E" w:rsidRDefault="009C22F7" w:rsidP="00C819D7">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7EB01C97" w14:textId="77777777" w:rsidR="009C22F7" w:rsidRPr="00BE536E" w:rsidRDefault="009C22F7" w:rsidP="00D05311">
            <w:pPr>
              <w:numPr>
                <w:ilvl w:val="0"/>
                <w:numId w:val="74"/>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течение всего периода нахождения денежных средств на счетах брокера или на счетах в НКО НКЦ (АО);</w:t>
            </w:r>
          </w:p>
          <w:p w14:paraId="4545D8E5" w14:textId="77777777" w:rsidR="009C22F7" w:rsidRPr="00BE536E" w:rsidRDefault="009C22F7" w:rsidP="00D05311">
            <w:pPr>
              <w:numPr>
                <w:ilvl w:val="0"/>
                <w:numId w:val="74"/>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течение 3 рабочих дней с даты, когда управляющая компания выразила намерение о выводе денежных средств со счета брокера или со счета в НКО НКЦ (АО) в установленной форме согласно заключенным договорам (соглашениям),  в случае, если в течение указанного срока денежные средства не получены на счет ПИФ</w:t>
            </w:r>
          </w:p>
          <w:p w14:paraId="239EB5C4"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Информацию о неисполнении брокером или НКО НКЦ (АО) требования Управляющей компании о выводе денежных средств предоставляется в Специализированный депозитарий не позднее дня, следующего за окончанием установленного срока.</w:t>
            </w:r>
          </w:p>
        </w:tc>
      </w:tr>
      <w:tr w:rsidR="009C22F7" w:rsidRPr="00BE536E" w14:paraId="41D84DBB" w14:textId="77777777" w:rsidTr="00C819D7">
        <w:trPr>
          <w:trHeight w:val="699"/>
        </w:trPr>
        <w:tc>
          <w:tcPr>
            <w:tcW w:w="1984" w:type="dxa"/>
            <w:shd w:val="clear" w:color="auto" w:fill="A6A6A6"/>
          </w:tcPr>
          <w:p w14:paraId="677ADED2"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6FC2FD72"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Справедливая стоимость денежных средств, находящихся на счете брокера</w:t>
            </w:r>
            <w:r w:rsidRPr="00BE536E">
              <w:rPr>
                <w:rFonts w:ascii="Verdana" w:hAnsi="Verdana"/>
                <w:sz w:val="20"/>
                <w:szCs w:val="20"/>
              </w:rPr>
              <w:t xml:space="preserve"> или на счете в НКО НКЦ (АО)</w:t>
            </w:r>
            <w:r w:rsidRPr="00BE536E">
              <w:rPr>
                <w:rFonts w:ascii="Verdana" w:eastAsia="Times New Roman" w:hAnsi="Verdana"/>
                <w:bCs/>
                <w:color w:val="000000"/>
                <w:sz w:val="20"/>
                <w:szCs w:val="20"/>
                <w:lang w:eastAsia="ru-RU"/>
              </w:rPr>
              <w:t xml:space="preserve">, определяется в </w:t>
            </w:r>
            <w:r w:rsidRPr="00BE536E">
              <w:rPr>
                <w:rFonts w:ascii="Verdana" w:hAnsi="Verdana"/>
                <w:sz w:val="20"/>
                <w:szCs w:val="20"/>
              </w:rPr>
              <w:t>сумме остатка на указанных счетах.</w:t>
            </w:r>
          </w:p>
          <w:p w14:paraId="2681F27B" w14:textId="77777777" w:rsidR="009C22F7" w:rsidRPr="00BE536E" w:rsidRDefault="009C22F7" w:rsidP="00C819D7">
            <w:pPr>
              <w:spacing w:after="0" w:line="240" w:lineRule="auto"/>
              <w:jc w:val="both"/>
              <w:rPr>
                <w:rFonts w:ascii="Verdana" w:hAnsi="Verdana"/>
                <w:sz w:val="20"/>
                <w:szCs w:val="20"/>
              </w:rPr>
            </w:pPr>
          </w:p>
          <w:p w14:paraId="62401A18"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5035FA83"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22BFEF90" w14:textId="77777777" w:rsidTr="00C819D7">
        <w:trPr>
          <w:trHeight w:val="1407"/>
        </w:trPr>
        <w:tc>
          <w:tcPr>
            <w:tcW w:w="1984" w:type="dxa"/>
            <w:shd w:val="clear" w:color="auto" w:fill="A6A6A6"/>
          </w:tcPr>
          <w:p w14:paraId="222AC61E" w14:textId="77777777" w:rsidR="009C22F7" w:rsidRPr="00BE536E" w:rsidRDefault="009C22F7" w:rsidP="00C819D7">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5DFF35CD" w14:textId="77777777" w:rsidR="009C22F7" w:rsidRPr="00BE536E" w:rsidRDefault="009C22F7" w:rsidP="00C819D7">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tc>
      </w:tr>
    </w:tbl>
    <w:p w14:paraId="385624FB" w14:textId="0122E610" w:rsidR="009C22F7" w:rsidRPr="00BE536E" w:rsidRDefault="009C22F7" w:rsidP="009C22F7">
      <w:pPr>
        <w:pStyle w:val="10"/>
        <w:numPr>
          <w:ilvl w:val="0"/>
          <w:numId w:val="0"/>
        </w:numPr>
        <w:ind w:left="432"/>
        <w:jc w:val="left"/>
        <w:rPr>
          <w:rFonts w:ascii="Verdana" w:hAnsi="Verdana" w:cs="Arial"/>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16</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Задолженность по сделкам с ценными бумагами, заключенным на условиях Т+ (при несовпадении даты поставки ценных бумаг, определенной условиями договора с датой заключения договора по покупке/продаже ценных бумаг)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01D22D20" w14:textId="77777777" w:rsidTr="00C819D7">
        <w:trPr>
          <w:trHeight w:val="363"/>
        </w:trPr>
        <w:tc>
          <w:tcPr>
            <w:tcW w:w="1984" w:type="dxa"/>
            <w:shd w:val="clear" w:color="auto" w:fill="A6A6A6"/>
          </w:tcPr>
          <w:p w14:paraId="5BD57777"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активов/обязательств</w:t>
            </w:r>
          </w:p>
        </w:tc>
        <w:tc>
          <w:tcPr>
            <w:tcW w:w="7371" w:type="dxa"/>
          </w:tcPr>
          <w:p w14:paraId="2754F89B"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Задолженность по сделкам с ценными бумагами, заключенным на условиях Т+</w:t>
            </w:r>
          </w:p>
        </w:tc>
      </w:tr>
      <w:tr w:rsidR="009C22F7" w:rsidRPr="00BE536E" w14:paraId="2E0DEBB0" w14:textId="77777777" w:rsidTr="00C819D7">
        <w:trPr>
          <w:trHeight w:val="595"/>
        </w:trPr>
        <w:tc>
          <w:tcPr>
            <w:tcW w:w="1984" w:type="dxa"/>
            <w:shd w:val="clear" w:color="auto" w:fill="A6A6A6"/>
          </w:tcPr>
          <w:p w14:paraId="7719DDCB"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365EA54B"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заключения договора  по  приобретению (реализации) ценных бумаг;</w:t>
            </w:r>
          </w:p>
          <w:p w14:paraId="67F7F20E"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Дата направления подтверждения на участие в корпоративном действии (акцепт оферты) в случае, если условия исполнения оферты определены и неизменны до даты исполнения оферты.</w:t>
            </w:r>
          </w:p>
        </w:tc>
      </w:tr>
      <w:tr w:rsidR="009C22F7" w:rsidRPr="00BE536E" w14:paraId="4E1C6C2C" w14:textId="77777777" w:rsidTr="00C819D7">
        <w:trPr>
          <w:trHeight w:val="845"/>
        </w:trPr>
        <w:tc>
          <w:tcPr>
            <w:tcW w:w="1984" w:type="dxa"/>
            <w:shd w:val="clear" w:color="auto" w:fill="A6A6A6"/>
          </w:tcPr>
          <w:p w14:paraId="6717884A"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0CD4786C"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 собственности на ценные бумаги   подтвержденная выпиской по счету депо.</w:t>
            </w:r>
          </w:p>
        </w:tc>
      </w:tr>
      <w:tr w:rsidR="009C22F7" w:rsidRPr="00BE536E" w14:paraId="2B435D41" w14:textId="77777777" w:rsidTr="00C819D7">
        <w:tc>
          <w:tcPr>
            <w:tcW w:w="1984" w:type="dxa"/>
            <w:shd w:val="clear" w:color="auto" w:fill="A6A6A6"/>
          </w:tcPr>
          <w:p w14:paraId="336EC2E1"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3B3704FC" w14:textId="77777777" w:rsidR="009C22F7" w:rsidRPr="00BE536E" w:rsidRDefault="009C22F7" w:rsidP="00C819D7">
            <w:pPr>
              <w:spacing w:after="0" w:line="240" w:lineRule="auto"/>
              <w:ind w:firstLine="459"/>
              <w:jc w:val="both"/>
              <w:rPr>
                <w:rFonts w:ascii="Verdana" w:eastAsia="Times New Roman" w:hAnsi="Verdana"/>
                <w:iCs/>
                <w:sz w:val="20"/>
                <w:szCs w:val="20"/>
                <w:lang w:eastAsia="ru-RU"/>
              </w:rPr>
            </w:pPr>
            <w:r w:rsidRPr="00BE536E">
              <w:rPr>
                <w:rFonts w:ascii="Verdana" w:eastAsia="Times New Roman" w:hAnsi="Verdana"/>
                <w:bCs/>
                <w:sz w:val="20"/>
                <w:szCs w:val="20"/>
                <w:lang w:eastAsia="ru-RU"/>
              </w:rPr>
              <w:t xml:space="preserve">Справедливая стоимость </w:t>
            </w:r>
            <w:r w:rsidRPr="00BE536E">
              <w:rPr>
                <w:rFonts w:ascii="Verdana" w:eastAsia="Times New Roman" w:hAnsi="Verdana"/>
                <w:bCs/>
                <w:color w:val="000000"/>
                <w:sz w:val="20"/>
                <w:szCs w:val="20"/>
                <w:lang w:eastAsia="ru-RU"/>
              </w:rPr>
              <w:t>задолженности по сделкам с ценными бумагами, заключенным на условиях Т+,</w:t>
            </w:r>
            <w:r w:rsidRPr="00BE536E">
              <w:rPr>
                <w:rFonts w:ascii="Verdana" w:eastAsia="Times New Roman" w:hAnsi="Verdana"/>
                <w:bCs/>
                <w:sz w:val="20"/>
                <w:szCs w:val="20"/>
                <w:lang w:eastAsia="ru-RU"/>
              </w:rPr>
              <w:t xml:space="preserve"> определяется </w:t>
            </w:r>
            <w:r w:rsidRPr="00BE536E">
              <w:rPr>
                <w:rFonts w:ascii="Verdana" w:eastAsia="Times New Roman" w:hAnsi="Verdana"/>
                <w:iCs/>
                <w:sz w:val="20"/>
                <w:szCs w:val="20"/>
                <w:lang w:eastAsia="ru-RU"/>
              </w:rPr>
              <w:t>в размере разницы между выраженной в рублях справедливой стоимостью ценных бумаг, являющихся предметом сделки, и  суммой сделки в валюте сделки, приведенной к рублю по текущему курсу валюты.</w:t>
            </w:r>
          </w:p>
          <w:p w14:paraId="48C709D1" w14:textId="77777777" w:rsidR="009C22F7" w:rsidRPr="00BE536E" w:rsidRDefault="009C22F7" w:rsidP="00C819D7">
            <w:pPr>
              <w:spacing w:after="0" w:line="240" w:lineRule="auto"/>
              <w:ind w:firstLine="459"/>
              <w:jc w:val="both"/>
              <w:rPr>
                <w:rFonts w:ascii="Verdana" w:hAnsi="Verdana"/>
                <w:sz w:val="20"/>
                <w:szCs w:val="20"/>
              </w:rPr>
            </w:pPr>
            <w:r w:rsidRPr="00BE536E">
              <w:rPr>
                <w:rFonts w:ascii="Verdana" w:eastAsia="Times New Roman" w:hAnsi="Verdana"/>
                <w:iCs/>
                <w:sz w:val="20"/>
                <w:szCs w:val="20"/>
                <w:lang w:eastAsia="ru-RU"/>
              </w:rPr>
              <w:t>При определении справедливой стоимости задолженности по сделкам с облигациями, заключенными на условиях Т+, справедливая стоимость облигаций, являющихся предметом сделки, с даты заключения сделки до даты перехода прав собственности на ценные бумаги, ежедневно определяется с учетом накопленного купонного дохода, определенного на дату расчета по сделке в соответствии с условиями сделки или правилами организатора торгов.</w:t>
            </w:r>
          </w:p>
          <w:p w14:paraId="16D081B4" w14:textId="77777777" w:rsidR="009C22F7" w:rsidRPr="00BE536E" w:rsidRDefault="009C22F7" w:rsidP="00C819D7">
            <w:pPr>
              <w:pStyle w:val="Default"/>
              <w:ind w:firstLine="459"/>
              <w:jc w:val="both"/>
              <w:rPr>
                <w:rFonts w:ascii="Verdana" w:eastAsia="Times New Roman" w:hAnsi="Verdana"/>
                <w:iCs/>
              </w:rPr>
            </w:pPr>
            <w:r w:rsidRPr="00BE536E">
              <w:rPr>
                <w:rFonts w:ascii="Verdana" w:eastAsia="Times New Roman" w:hAnsi="Verdana"/>
                <w:iCs/>
              </w:rPr>
              <w:t>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w:t>
            </w:r>
          </w:p>
          <w:p w14:paraId="580C83A5" w14:textId="77777777" w:rsidR="009C22F7" w:rsidRPr="00BE536E" w:rsidRDefault="009C22F7" w:rsidP="00C819D7">
            <w:pPr>
              <w:spacing w:after="0" w:line="240" w:lineRule="auto"/>
              <w:ind w:firstLine="459"/>
              <w:jc w:val="both"/>
              <w:rPr>
                <w:rFonts w:ascii="Verdana" w:hAnsi="Verdana"/>
                <w:sz w:val="20"/>
                <w:szCs w:val="20"/>
              </w:rPr>
            </w:pPr>
            <w:r w:rsidRPr="00BE536E">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BE536E">
                <w:rPr>
                  <w:rStyle w:val="a5"/>
                  <w:rFonts w:ascii="Verdana" w:eastAsia="Times New Roman" w:hAnsi="Verdana"/>
                  <w:bCs/>
                  <w:sz w:val="20"/>
                  <w:szCs w:val="20"/>
                  <w:lang w:eastAsia="ru-RU"/>
                </w:rPr>
                <w:t xml:space="preserve">Приложением </w:t>
              </w:r>
            </w:hyperlink>
            <w:r w:rsidR="006700EB" w:rsidRPr="00BE536E">
              <w:rPr>
                <w:rStyle w:val="a5"/>
                <w:rFonts w:ascii="Verdana" w:eastAsia="Times New Roman" w:hAnsi="Verdana"/>
                <w:bCs/>
                <w:sz w:val="20"/>
                <w:szCs w:val="20"/>
                <w:lang w:eastAsia="ru-RU"/>
              </w:rPr>
              <w:t>5</w:t>
            </w:r>
            <w:r w:rsidRPr="00BE536E">
              <w:rPr>
                <w:rFonts w:ascii="Verdana" w:hAnsi="Verdana"/>
                <w:sz w:val="20"/>
                <w:szCs w:val="20"/>
              </w:rPr>
              <w:t>.</w:t>
            </w:r>
          </w:p>
          <w:p w14:paraId="7323460D" w14:textId="77777777" w:rsidR="009C22F7" w:rsidRPr="00BE536E" w:rsidRDefault="009C22F7" w:rsidP="00C819D7">
            <w:pPr>
              <w:pStyle w:val="aff5"/>
              <w:tabs>
                <w:tab w:val="clear" w:pos="0"/>
                <w:tab w:val="left" w:pos="459"/>
              </w:tabs>
              <w:spacing w:before="0" w:after="0"/>
              <w:ind w:firstLine="459"/>
              <w:jc w:val="both"/>
              <w:rPr>
                <w:rFonts w:ascii="Verdana" w:hAnsi="Verdana"/>
                <w:bCs/>
                <w:sz w:val="20"/>
                <w:szCs w:val="20"/>
              </w:rPr>
            </w:pPr>
          </w:p>
        </w:tc>
      </w:tr>
      <w:tr w:rsidR="009C22F7" w:rsidRPr="00BE536E" w14:paraId="1C453283" w14:textId="77777777" w:rsidTr="00C819D7">
        <w:tc>
          <w:tcPr>
            <w:tcW w:w="1984" w:type="dxa"/>
            <w:shd w:val="clear" w:color="auto" w:fill="A6A6A6"/>
          </w:tcPr>
          <w:p w14:paraId="525D5C41"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62A91B0E" w14:textId="77777777" w:rsidR="009C22F7" w:rsidRPr="00BE536E" w:rsidRDefault="009C22F7" w:rsidP="00C819D7">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0C7FC214" w14:textId="77777777" w:rsidR="009C22F7" w:rsidRPr="00BE536E" w:rsidRDefault="009C22F7" w:rsidP="00C819D7">
            <w:pPr>
              <w:spacing w:after="0" w:line="240" w:lineRule="auto"/>
              <w:ind w:firstLine="459"/>
              <w:jc w:val="both"/>
              <w:rPr>
                <w:rFonts w:ascii="Verdana" w:eastAsia="Times New Roman" w:hAnsi="Verdana"/>
                <w:bCs/>
                <w:sz w:val="20"/>
                <w:szCs w:val="20"/>
                <w:lang w:eastAsia="ru-RU"/>
              </w:rPr>
            </w:pPr>
          </w:p>
        </w:tc>
      </w:tr>
    </w:tbl>
    <w:p w14:paraId="25AF9CBD" w14:textId="77777777" w:rsidR="009C22F7" w:rsidRPr="00BE536E" w:rsidRDefault="009C22F7" w:rsidP="009C22F7">
      <w:pPr>
        <w:spacing w:after="0"/>
        <w:jc w:val="right"/>
        <w:rPr>
          <w:rFonts w:ascii="Verdana" w:hAnsi="Verdana" w:cs="Arial"/>
          <w:b/>
        </w:rPr>
      </w:pPr>
    </w:p>
    <w:p w14:paraId="5D1CCDA2" w14:textId="77777777" w:rsidR="009C22F7" w:rsidRPr="00BE536E" w:rsidRDefault="009C22F7" w:rsidP="009C22F7">
      <w:pPr>
        <w:spacing w:after="0"/>
        <w:jc w:val="right"/>
        <w:rPr>
          <w:rFonts w:ascii="Verdana" w:hAnsi="Verdana" w:cs="Arial"/>
          <w:b/>
        </w:rPr>
        <w:sectPr w:rsidR="009C22F7" w:rsidRPr="00BE536E" w:rsidSect="003C31C1">
          <w:pgSz w:w="12240" w:h="15840"/>
          <w:pgMar w:top="1134" w:right="709" w:bottom="992" w:left="1701" w:header="720" w:footer="720" w:gutter="0"/>
          <w:cols w:space="720"/>
          <w:noEndnote/>
          <w:docGrid w:linePitch="360"/>
        </w:sectPr>
      </w:pPr>
    </w:p>
    <w:p w14:paraId="3509AAED" w14:textId="32E096CE" w:rsidR="009C22F7" w:rsidRPr="00BE536E" w:rsidRDefault="009C22F7" w:rsidP="009C22F7">
      <w:pPr>
        <w:pStyle w:val="10"/>
        <w:numPr>
          <w:ilvl w:val="0"/>
          <w:numId w:val="0"/>
        </w:numPr>
        <w:ind w:left="432"/>
        <w:jc w:val="left"/>
        <w:rPr>
          <w:rFonts w:ascii="Verdana" w:hAnsi="Verdana" w:cs="Arial"/>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17</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Задолженность по сделкам с валютой, заключенным на условиях Т+ (при несовпадении даты поставки валюты, определенной условиями договора с датой заключения договора по покупке/продаже валюты)</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65227E12" w14:textId="77777777" w:rsidTr="00C819D7">
        <w:trPr>
          <w:trHeight w:val="363"/>
        </w:trPr>
        <w:tc>
          <w:tcPr>
            <w:tcW w:w="1984" w:type="dxa"/>
            <w:shd w:val="clear" w:color="auto" w:fill="A6A6A6"/>
          </w:tcPr>
          <w:p w14:paraId="4EEF0F3A"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активов/обязательств</w:t>
            </w:r>
          </w:p>
        </w:tc>
        <w:tc>
          <w:tcPr>
            <w:tcW w:w="7371" w:type="dxa"/>
          </w:tcPr>
          <w:p w14:paraId="442808B3"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Задолженность по сделкам с валютой, заключенным на условиях Т+</w:t>
            </w:r>
          </w:p>
          <w:p w14:paraId="4EE292B1"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4BBCC450" w14:textId="77777777" w:rsidTr="00C819D7">
        <w:trPr>
          <w:trHeight w:val="595"/>
        </w:trPr>
        <w:tc>
          <w:tcPr>
            <w:tcW w:w="1984" w:type="dxa"/>
            <w:shd w:val="clear" w:color="auto" w:fill="A6A6A6"/>
          </w:tcPr>
          <w:p w14:paraId="774B5659"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203C7E0F"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Дата заключения договора  по  покупке/продаже валюты.</w:t>
            </w:r>
          </w:p>
        </w:tc>
      </w:tr>
      <w:tr w:rsidR="009C22F7" w:rsidRPr="00BE536E" w14:paraId="3DFC9F0D" w14:textId="77777777" w:rsidTr="00C819D7">
        <w:trPr>
          <w:trHeight w:val="845"/>
        </w:trPr>
        <w:tc>
          <w:tcPr>
            <w:tcW w:w="1984" w:type="dxa"/>
            <w:shd w:val="clear" w:color="auto" w:fill="A6A6A6"/>
          </w:tcPr>
          <w:p w14:paraId="23C41A1D"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352A9756"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 собственности на валюту на основании выписки со счета открытого на управляющую компанию Д.У. ПИФ/брокерского отчета.</w:t>
            </w:r>
          </w:p>
        </w:tc>
      </w:tr>
      <w:tr w:rsidR="009C22F7" w:rsidRPr="00BE536E" w14:paraId="58CB0A6C" w14:textId="77777777" w:rsidTr="00C819D7">
        <w:tc>
          <w:tcPr>
            <w:tcW w:w="1984" w:type="dxa"/>
            <w:shd w:val="clear" w:color="auto" w:fill="A6A6A6"/>
          </w:tcPr>
          <w:p w14:paraId="1F6E8347"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6DAEEE31"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Справедливая стоимость задолженности по сделкам с валютой, заключенным на условиях Т+ определяется в размере разницы между  текущей справедливой стоимостью валюты, рассчитанной в рублях в соответствии с настоящими Правилами определения СЧА, и стоимостью валюты в рублях, зафиксированной в договоре на дату  исполнения  сделки.</w:t>
            </w:r>
          </w:p>
          <w:p w14:paraId="6AF4BEDE" w14:textId="77777777" w:rsidR="009C22F7" w:rsidRPr="00BE536E" w:rsidRDefault="009C22F7" w:rsidP="00C819D7">
            <w:pPr>
              <w:spacing w:after="0" w:line="240" w:lineRule="auto"/>
              <w:ind w:left="34" w:firstLine="42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 </w:t>
            </w:r>
          </w:p>
          <w:p w14:paraId="4A4B283C"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BE536E">
                <w:rPr>
                  <w:rStyle w:val="a5"/>
                  <w:rFonts w:ascii="Verdana" w:eastAsia="Times New Roman" w:hAnsi="Verdana"/>
                  <w:bCs/>
                  <w:sz w:val="20"/>
                  <w:szCs w:val="20"/>
                  <w:lang w:eastAsia="ru-RU"/>
                </w:rPr>
                <w:t xml:space="preserve">Приложением </w:t>
              </w:r>
            </w:hyperlink>
            <w:r w:rsidR="006700EB" w:rsidRPr="00BE536E">
              <w:rPr>
                <w:rStyle w:val="a5"/>
                <w:rFonts w:ascii="Verdana" w:eastAsia="Times New Roman" w:hAnsi="Verdana"/>
                <w:bCs/>
                <w:sz w:val="20"/>
                <w:szCs w:val="20"/>
                <w:lang w:eastAsia="ru-RU"/>
              </w:rPr>
              <w:t>5</w:t>
            </w:r>
            <w:r w:rsidRPr="00BE536E">
              <w:rPr>
                <w:rFonts w:ascii="Verdana" w:hAnsi="Verdana"/>
                <w:sz w:val="20"/>
                <w:szCs w:val="20"/>
              </w:rPr>
              <w:t>.</w:t>
            </w:r>
          </w:p>
          <w:p w14:paraId="40535AB1" w14:textId="77777777" w:rsidR="009C22F7" w:rsidRPr="00BE536E" w:rsidRDefault="009C22F7" w:rsidP="00C819D7">
            <w:pPr>
              <w:spacing w:after="0" w:line="240" w:lineRule="auto"/>
              <w:ind w:left="34" w:firstLine="425"/>
              <w:jc w:val="both"/>
              <w:rPr>
                <w:rFonts w:ascii="Verdana" w:eastAsia="Times New Roman" w:hAnsi="Verdana"/>
                <w:bCs/>
                <w:color w:val="000000"/>
                <w:sz w:val="20"/>
                <w:szCs w:val="20"/>
                <w:lang w:eastAsia="ru-RU"/>
              </w:rPr>
            </w:pPr>
          </w:p>
        </w:tc>
      </w:tr>
      <w:tr w:rsidR="009C22F7" w:rsidRPr="00BE536E" w14:paraId="5E340177" w14:textId="77777777" w:rsidTr="00C819D7">
        <w:tc>
          <w:tcPr>
            <w:tcW w:w="1984" w:type="dxa"/>
            <w:shd w:val="clear" w:color="auto" w:fill="A6A6A6"/>
          </w:tcPr>
          <w:p w14:paraId="005BAE13"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5831C466" w14:textId="77777777" w:rsidR="009C22F7" w:rsidRPr="00BE536E" w:rsidRDefault="009C22F7" w:rsidP="00C819D7">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0848716C"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bl>
    <w:p w14:paraId="0C292C24" w14:textId="77777777" w:rsidR="009C22F7" w:rsidRPr="00BE536E" w:rsidRDefault="009C22F7" w:rsidP="009C22F7">
      <w:pPr>
        <w:spacing w:after="0"/>
        <w:jc w:val="right"/>
        <w:rPr>
          <w:rFonts w:ascii="Verdana" w:hAnsi="Verdana" w:cs="Arial"/>
          <w:b/>
        </w:rPr>
      </w:pPr>
    </w:p>
    <w:p w14:paraId="228F28DD" w14:textId="77777777" w:rsidR="009C22F7" w:rsidRPr="00BE536E" w:rsidRDefault="009C22F7" w:rsidP="009C22F7">
      <w:pPr>
        <w:spacing w:after="0"/>
        <w:jc w:val="right"/>
        <w:rPr>
          <w:rFonts w:ascii="Verdana" w:hAnsi="Verdana" w:cs="Arial"/>
          <w:b/>
        </w:rPr>
      </w:pPr>
    </w:p>
    <w:p w14:paraId="691F5A35" w14:textId="77777777" w:rsidR="009C22F7" w:rsidRPr="00BE536E" w:rsidRDefault="009C22F7" w:rsidP="009C22F7">
      <w:pPr>
        <w:spacing w:after="0" w:line="240" w:lineRule="auto"/>
        <w:rPr>
          <w:rFonts w:ascii="Verdana" w:eastAsia="Times New Roman" w:hAnsi="Verdana" w:cs="Arial"/>
          <w:caps/>
          <w:color w:val="943634"/>
          <w:spacing w:val="6"/>
          <w:kern w:val="32"/>
          <w:sz w:val="24"/>
          <w:szCs w:val="24"/>
          <w:lang w:eastAsia="ru-RU"/>
        </w:rPr>
      </w:pPr>
      <w:r w:rsidRPr="00BE536E">
        <w:rPr>
          <w:rFonts w:ascii="Verdana" w:hAnsi="Verdana" w:cs="Arial"/>
          <w:b/>
          <w:bCs/>
          <w:iCs/>
          <w:caps/>
          <w:smallCaps/>
          <w:color w:val="943634"/>
          <w:sz w:val="24"/>
        </w:rPr>
        <w:br w:type="page"/>
      </w:r>
    </w:p>
    <w:p w14:paraId="72D49EBC" w14:textId="216C9388"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18</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Прочая дебиторская задолженность</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6E716145" w14:textId="77777777" w:rsidTr="00C819D7">
        <w:trPr>
          <w:trHeight w:val="363"/>
        </w:trPr>
        <w:tc>
          <w:tcPr>
            <w:tcW w:w="1984" w:type="dxa"/>
            <w:shd w:val="clear" w:color="auto" w:fill="A6A6A6"/>
          </w:tcPr>
          <w:p w14:paraId="61DA7952"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156D35B4"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рамках настоящих Правил определения СЧА к прочей дебиторской задолженности отнесены в том числе следующие виды:</w:t>
            </w:r>
          </w:p>
          <w:p w14:paraId="19B1F7FC" w14:textId="77777777" w:rsidR="009C22F7" w:rsidRPr="00BE536E" w:rsidRDefault="009C22F7" w:rsidP="00C819D7">
            <w:pPr>
              <w:spacing w:after="0" w:line="240" w:lineRule="auto"/>
              <w:ind w:left="318"/>
              <w:jc w:val="both"/>
              <w:rPr>
                <w:rFonts w:ascii="Verdana" w:eastAsia="Times New Roman" w:hAnsi="Verdana"/>
                <w:bCs/>
                <w:color w:val="000000"/>
                <w:sz w:val="20"/>
                <w:szCs w:val="20"/>
                <w:lang w:eastAsia="ru-RU"/>
              </w:rPr>
            </w:pPr>
          </w:p>
          <w:p w14:paraId="5B833DDC" w14:textId="77777777" w:rsidR="009C22F7" w:rsidRPr="00BE536E"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Дебиторская задолженность, возникшая в результате совершения сделок с имуществом ПИФ, по которым наступила наиболее ранняя дата расчетов; </w:t>
            </w:r>
          </w:p>
          <w:p w14:paraId="54E90D6B" w14:textId="77777777" w:rsidR="009C22F7" w:rsidRPr="00BE536E"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Авансы, выданные по сделкам за счет имущества ПИФ;</w:t>
            </w:r>
          </w:p>
          <w:p w14:paraId="0BB49C50" w14:textId="77777777" w:rsidR="009C22F7" w:rsidRPr="00BE536E"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управляющей компании перед ПИФ;</w:t>
            </w:r>
          </w:p>
          <w:p w14:paraId="2ADD65C2" w14:textId="77777777" w:rsidR="009C22F7" w:rsidRPr="00BE536E"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возникшая по договорам с аудиторской организацией, оценщиком, специализированным депозитарием, регистратором, биржей, указанными в Правилах ДУ ПИФ;</w:t>
            </w:r>
          </w:p>
          <w:p w14:paraId="0A957BE7" w14:textId="77777777" w:rsidR="00BA43DC" w:rsidRPr="00BE536E" w:rsidRDefault="00BA43DC" w:rsidP="00567222">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возникшая при оплате расходов, связанных с доверительным управлением;</w:t>
            </w:r>
          </w:p>
          <w:p w14:paraId="23BEF7C7" w14:textId="77777777" w:rsidR="009C22F7" w:rsidRPr="00BE536E"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по налогам, сборам, пошлинам в бюджеты всех уровней;</w:t>
            </w:r>
          </w:p>
          <w:p w14:paraId="7034633C" w14:textId="77777777" w:rsidR="009C22F7" w:rsidRPr="00BE536E"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по возмещению суммы налогов из бюджета РФ;</w:t>
            </w:r>
          </w:p>
          <w:p w14:paraId="24CFDBC0" w14:textId="77777777" w:rsidR="009C22F7" w:rsidRPr="00BE536E"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по аренде</w:t>
            </w:r>
            <w:r w:rsidRPr="00BE536E">
              <w:rPr>
                <w:rFonts w:ascii="Verdana" w:eastAsia="Times New Roman" w:hAnsi="Verdana"/>
                <w:bCs/>
                <w:color w:val="000000"/>
                <w:sz w:val="20"/>
                <w:szCs w:val="20"/>
                <w:lang w:val="en-US" w:eastAsia="ru-RU"/>
              </w:rPr>
              <w:t>;</w:t>
            </w:r>
          </w:p>
          <w:p w14:paraId="552E1E67" w14:textId="77777777" w:rsidR="009C22F7" w:rsidRPr="00BE536E"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возникшая в результате перевода денежных средств («деньги в пути»);</w:t>
            </w:r>
          </w:p>
          <w:p w14:paraId="65514476" w14:textId="77777777" w:rsidR="009C22F7" w:rsidRPr="00BE536E"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iCs/>
                <w:sz w:val="20"/>
                <w:szCs w:val="20"/>
                <w:lang w:eastAsia="ru-RU"/>
              </w:rPr>
              <w:t>Дебиторская задолженность, возникшая в результате отзыва лицензии у банка или брокера.</w:t>
            </w:r>
          </w:p>
          <w:p w14:paraId="79BC440C"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p w14:paraId="468B70C0"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tc>
      </w:tr>
      <w:tr w:rsidR="009C22F7" w:rsidRPr="00BE536E" w14:paraId="060FA9C9" w14:textId="77777777" w:rsidTr="00C819D7">
        <w:trPr>
          <w:trHeight w:val="595"/>
        </w:trPr>
        <w:tc>
          <w:tcPr>
            <w:tcW w:w="1984" w:type="dxa"/>
            <w:shd w:val="clear" w:color="auto" w:fill="A6A6A6"/>
          </w:tcPr>
          <w:p w14:paraId="0EAD8702"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322123C8" w14:textId="77777777" w:rsidR="009C22F7" w:rsidRPr="00BE536E" w:rsidRDefault="009C22F7" w:rsidP="00567222">
            <w:pPr>
              <w:numPr>
                <w:ilvl w:val="0"/>
                <w:numId w:val="8"/>
              </w:numPr>
              <w:spacing w:after="0" w:line="240" w:lineRule="auto"/>
              <w:ind w:left="301" w:hanging="284"/>
              <w:jc w:val="both"/>
              <w:rPr>
                <w:rFonts w:ascii="Verdana" w:hAnsi="Verdana"/>
                <w:sz w:val="20"/>
                <w:szCs w:val="20"/>
              </w:rPr>
            </w:pPr>
            <w:r w:rsidRPr="00BE536E">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r w:rsidRPr="00BE536E">
              <w:rPr>
                <w:rFonts w:ascii="Verdana" w:eastAsia="Times New Roman" w:hAnsi="Verdana"/>
                <w:bCs/>
                <w:color w:val="000000"/>
                <w:sz w:val="20"/>
                <w:szCs w:val="20"/>
                <w:lang w:eastAsia="ru-RU"/>
              </w:rPr>
              <w:t xml:space="preserve"> – дата принятия НДС по работам и услугам к вычету, а также дата возникновения основания для возмещения налога из бюджета;</w:t>
            </w:r>
          </w:p>
          <w:p w14:paraId="3C667125" w14:textId="77777777" w:rsidR="009C22F7" w:rsidRPr="00BE536E" w:rsidRDefault="009C22F7" w:rsidP="00C819D7">
            <w:pPr>
              <w:spacing w:after="0" w:line="240" w:lineRule="auto"/>
              <w:ind w:left="301"/>
              <w:jc w:val="both"/>
              <w:rPr>
                <w:rFonts w:ascii="Verdana" w:hAnsi="Verdana"/>
                <w:b/>
                <w:sz w:val="20"/>
                <w:szCs w:val="20"/>
              </w:rPr>
            </w:pPr>
          </w:p>
          <w:p w14:paraId="410F68D7" w14:textId="77777777" w:rsidR="009C22F7" w:rsidRPr="00BE536E" w:rsidRDefault="009C22F7" w:rsidP="00567222">
            <w:pPr>
              <w:numPr>
                <w:ilvl w:val="0"/>
                <w:numId w:val="8"/>
              </w:numPr>
              <w:spacing w:after="0" w:line="240" w:lineRule="auto"/>
              <w:ind w:left="301" w:hanging="284"/>
              <w:jc w:val="both"/>
              <w:rPr>
                <w:rFonts w:ascii="Verdana" w:hAnsi="Verdana"/>
                <w:b/>
                <w:sz w:val="20"/>
                <w:szCs w:val="20"/>
              </w:rPr>
            </w:pPr>
            <w:r w:rsidRPr="00BE536E">
              <w:rPr>
                <w:rFonts w:ascii="Verdana" w:eastAsia="Times New Roman" w:hAnsi="Verdana"/>
                <w:b/>
                <w:bCs/>
                <w:color w:val="000000"/>
                <w:sz w:val="20"/>
                <w:szCs w:val="20"/>
                <w:lang w:eastAsia="ru-RU"/>
              </w:rPr>
              <w:t xml:space="preserve">Дебиторская задолженность по налогам, сборам, пошлинам в бюджеты всех уровней </w:t>
            </w:r>
            <w:r w:rsidRPr="00BE536E">
              <w:rPr>
                <w:rFonts w:ascii="Verdana" w:eastAsia="Times New Roman" w:hAnsi="Verdana"/>
                <w:bCs/>
                <w:color w:val="000000"/>
                <w:sz w:val="20"/>
                <w:szCs w:val="20"/>
                <w:lang w:eastAsia="ru-RU"/>
              </w:rPr>
              <w:t>– дата возникновения основания для возмещения налогов, сборов, пошлин из бюджета</w:t>
            </w:r>
          </w:p>
          <w:p w14:paraId="0735D620" w14:textId="77777777" w:rsidR="009C22F7" w:rsidRPr="00BE536E" w:rsidRDefault="009C22F7" w:rsidP="00C819D7">
            <w:pPr>
              <w:spacing w:after="0" w:line="240" w:lineRule="auto"/>
              <w:ind w:left="301"/>
              <w:jc w:val="both"/>
              <w:rPr>
                <w:rFonts w:ascii="Verdana" w:hAnsi="Verdana"/>
                <w:sz w:val="20"/>
                <w:szCs w:val="20"/>
              </w:rPr>
            </w:pPr>
          </w:p>
          <w:p w14:paraId="3764512F" w14:textId="77777777" w:rsidR="009C22F7" w:rsidRPr="00BE536E" w:rsidRDefault="009C22F7" w:rsidP="00567222">
            <w:pPr>
              <w:numPr>
                <w:ilvl w:val="0"/>
                <w:numId w:val="8"/>
              </w:numPr>
              <w:spacing w:after="0" w:line="240" w:lineRule="auto"/>
              <w:ind w:left="301" w:hanging="284"/>
              <w:jc w:val="both"/>
              <w:rPr>
                <w:rFonts w:ascii="Verdana" w:hAnsi="Verdana"/>
                <w:b/>
                <w:sz w:val="20"/>
                <w:szCs w:val="20"/>
              </w:rPr>
            </w:pPr>
            <w:r w:rsidRPr="00BE536E">
              <w:rPr>
                <w:rFonts w:ascii="Verdana" w:hAnsi="Verdana"/>
                <w:b/>
                <w:sz w:val="20"/>
                <w:szCs w:val="20"/>
              </w:rPr>
              <w:t>Для д</w:t>
            </w:r>
            <w:r w:rsidRPr="00BE536E">
              <w:rPr>
                <w:rFonts w:ascii="Verdana" w:eastAsia="Times New Roman" w:hAnsi="Verdana"/>
                <w:b/>
                <w:bCs/>
                <w:color w:val="000000"/>
                <w:sz w:val="20"/>
                <w:szCs w:val="20"/>
                <w:lang w:eastAsia="ru-RU"/>
              </w:rPr>
              <w:t xml:space="preserve">ебиторской задолженности управляющей компании перед ПИФ – </w:t>
            </w:r>
            <w:r w:rsidRPr="00BE536E">
              <w:rPr>
                <w:rFonts w:ascii="Verdana" w:eastAsia="Times New Roman" w:hAnsi="Verdana"/>
                <w:bCs/>
                <w:color w:val="000000"/>
                <w:sz w:val="20"/>
                <w:szCs w:val="20"/>
                <w:lang w:eastAsia="ru-RU"/>
              </w:rPr>
              <w:t>установленный</w:t>
            </w:r>
            <w:r w:rsidRPr="00BE536E">
              <w:rPr>
                <w:rFonts w:ascii="Verdana" w:eastAsia="Times New Roman" w:hAnsi="Verdana"/>
                <w:b/>
                <w:bCs/>
                <w:color w:val="000000"/>
                <w:sz w:val="20"/>
                <w:szCs w:val="20"/>
                <w:lang w:eastAsia="ru-RU"/>
              </w:rPr>
              <w:t xml:space="preserve"> </w:t>
            </w:r>
            <w:r w:rsidRPr="00BE536E">
              <w:rPr>
                <w:rFonts w:ascii="Verdana" w:eastAsia="Times New Roman" w:hAnsi="Verdana"/>
                <w:bCs/>
                <w:color w:val="000000"/>
                <w:sz w:val="20"/>
                <w:szCs w:val="20"/>
                <w:lang w:eastAsia="ru-RU"/>
              </w:rPr>
              <w:t xml:space="preserve">факт превышения допустимой величины вознаграждений и/или расходов, сумма превышения которых подлежит возврату управляющей компанией или установленный факт излишне выплаченного вознаграждения управляющей компании, сумма которого подлежит возврату в ПИФ. </w:t>
            </w:r>
          </w:p>
          <w:p w14:paraId="1E8B3D76" w14:textId="77777777" w:rsidR="009C22F7" w:rsidRPr="00BE536E" w:rsidRDefault="009C22F7" w:rsidP="00C819D7">
            <w:pPr>
              <w:spacing w:after="0" w:line="240" w:lineRule="auto"/>
              <w:ind w:left="301"/>
              <w:jc w:val="both"/>
              <w:rPr>
                <w:rFonts w:ascii="Verdana" w:hAnsi="Verdana"/>
                <w:b/>
                <w:sz w:val="20"/>
                <w:szCs w:val="20"/>
              </w:rPr>
            </w:pPr>
          </w:p>
          <w:p w14:paraId="5EC192FC" w14:textId="77777777" w:rsidR="009C22F7" w:rsidRPr="00BE536E" w:rsidRDefault="009C22F7" w:rsidP="00567222">
            <w:pPr>
              <w:numPr>
                <w:ilvl w:val="0"/>
                <w:numId w:val="8"/>
              </w:numPr>
              <w:spacing w:after="0" w:line="240" w:lineRule="auto"/>
              <w:ind w:left="301" w:hanging="284"/>
              <w:jc w:val="both"/>
              <w:rPr>
                <w:rFonts w:ascii="Verdana" w:hAnsi="Verdana"/>
                <w:b/>
                <w:sz w:val="20"/>
                <w:szCs w:val="20"/>
              </w:rPr>
            </w:pPr>
            <w:r w:rsidRPr="00BE536E">
              <w:rPr>
                <w:rFonts w:ascii="Verdana" w:hAnsi="Verdana"/>
                <w:b/>
                <w:sz w:val="20"/>
                <w:szCs w:val="20"/>
              </w:rPr>
              <w:t xml:space="preserve">Для </w:t>
            </w:r>
            <w:r w:rsidRPr="00BE536E">
              <w:rPr>
                <w:rFonts w:ascii="Verdana" w:eastAsia="Times New Roman" w:hAnsi="Verdana"/>
                <w:b/>
                <w:bCs/>
                <w:color w:val="000000"/>
                <w:sz w:val="20"/>
                <w:szCs w:val="20"/>
                <w:lang w:eastAsia="ru-RU"/>
              </w:rPr>
              <w:t>дебиторской задолженности, возникшей в результате перевода денежных средств –</w:t>
            </w:r>
            <w:r w:rsidRPr="00BE536E">
              <w:rPr>
                <w:rFonts w:ascii="Verdana" w:eastAsia="Times New Roman" w:hAnsi="Verdana"/>
                <w:bCs/>
                <w:color w:val="000000"/>
                <w:sz w:val="20"/>
                <w:szCs w:val="20"/>
                <w:lang w:eastAsia="ru-RU"/>
              </w:rPr>
              <w:t xml:space="preserve"> фактическое списания денежных средств с одного счета ПИФ и отсутствие факта зачисления на другой счет ПИФ, на который осуществлялся перевод.</w:t>
            </w:r>
          </w:p>
          <w:p w14:paraId="4330B373" w14:textId="77777777" w:rsidR="009C22F7" w:rsidRPr="00BE536E" w:rsidRDefault="009C22F7" w:rsidP="00C819D7">
            <w:pPr>
              <w:rPr>
                <w:rFonts w:ascii="Verdana" w:hAnsi="Verdana"/>
                <w:b/>
                <w:sz w:val="20"/>
                <w:szCs w:val="20"/>
              </w:rPr>
            </w:pPr>
          </w:p>
          <w:p w14:paraId="3E611DD1" w14:textId="77777777" w:rsidR="009C22F7" w:rsidRPr="00BE536E" w:rsidRDefault="009C22F7" w:rsidP="00567222">
            <w:pPr>
              <w:numPr>
                <w:ilvl w:val="0"/>
                <w:numId w:val="8"/>
              </w:numPr>
              <w:spacing w:after="0" w:line="240" w:lineRule="auto"/>
              <w:ind w:left="301" w:hanging="284"/>
              <w:jc w:val="both"/>
              <w:rPr>
                <w:rFonts w:ascii="Verdana" w:hAnsi="Verdana"/>
                <w:b/>
                <w:sz w:val="20"/>
                <w:szCs w:val="20"/>
              </w:rPr>
            </w:pPr>
            <w:r w:rsidRPr="00BE536E">
              <w:rPr>
                <w:rFonts w:ascii="Verdana" w:hAnsi="Verdana"/>
                <w:b/>
                <w:sz w:val="20"/>
                <w:szCs w:val="20"/>
              </w:rPr>
              <w:t>Для дебиторской задолженности по аренде</w:t>
            </w:r>
            <w:r w:rsidRPr="00BE536E">
              <w:rPr>
                <w:rFonts w:ascii="Verdana" w:hAnsi="Verdana"/>
                <w:sz w:val="20"/>
                <w:szCs w:val="20"/>
              </w:rPr>
              <w:t xml:space="preserve"> –  факт передачи актива в аренду и возможность определения величины обязательств арендатора по договору аренды на дату определения справедливой стоимости</w:t>
            </w:r>
          </w:p>
          <w:p w14:paraId="2EC1A901" w14:textId="77777777" w:rsidR="009C22F7" w:rsidRPr="00BE536E" w:rsidRDefault="009C22F7" w:rsidP="00C819D7">
            <w:pPr>
              <w:rPr>
                <w:rFonts w:ascii="Verdana" w:hAnsi="Verdana"/>
                <w:b/>
                <w:sz w:val="20"/>
                <w:szCs w:val="20"/>
              </w:rPr>
            </w:pPr>
          </w:p>
          <w:p w14:paraId="567D492E" w14:textId="77777777" w:rsidR="009C22F7" w:rsidRPr="00BE536E" w:rsidRDefault="009C22F7" w:rsidP="00567222">
            <w:pPr>
              <w:numPr>
                <w:ilvl w:val="0"/>
                <w:numId w:val="8"/>
              </w:numPr>
              <w:spacing w:after="0" w:line="240" w:lineRule="auto"/>
              <w:ind w:left="301" w:hanging="284"/>
              <w:jc w:val="both"/>
              <w:rPr>
                <w:rFonts w:ascii="Verdana" w:hAnsi="Verdana"/>
                <w:b/>
                <w:sz w:val="20"/>
                <w:szCs w:val="20"/>
              </w:rPr>
            </w:pPr>
            <w:r w:rsidRPr="00BE536E">
              <w:rPr>
                <w:rFonts w:ascii="Verdana" w:eastAsia="Times New Roman" w:hAnsi="Verdana"/>
                <w:b/>
                <w:iCs/>
                <w:sz w:val="20"/>
                <w:szCs w:val="20"/>
                <w:lang w:eastAsia="ru-RU"/>
              </w:rPr>
              <w:lastRenderedPageBreak/>
              <w:t>Для дебиторской задолженности, возникшей в результате отзыва лицензии у банка или брокера</w:t>
            </w:r>
            <w:r w:rsidRPr="00BE536E">
              <w:rPr>
                <w:rFonts w:ascii="Verdana" w:eastAsia="Times New Roman" w:hAnsi="Verdana"/>
                <w:iCs/>
                <w:sz w:val="20"/>
                <w:szCs w:val="20"/>
                <w:lang w:eastAsia="ru-RU"/>
              </w:rPr>
              <w:t xml:space="preserve"> – дата отзыва лицензии банка, брокера.</w:t>
            </w:r>
          </w:p>
          <w:p w14:paraId="1F6D3DEF" w14:textId="77777777" w:rsidR="009C22F7" w:rsidRPr="00BE536E" w:rsidRDefault="009C22F7" w:rsidP="00C819D7">
            <w:pPr>
              <w:rPr>
                <w:rFonts w:ascii="Verdana" w:hAnsi="Verdana"/>
                <w:b/>
                <w:sz w:val="20"/>
                <w:szCs w:val="20"/>
              </w:rPr>
            </w:pPr>
          </w:p>
          <w:p w14:paraId="3CEDB398" w14:textId="77777777" w:rsidR="009C22F7" w:rsidRPr="00BE536E" w:rsidRDefault="009C22F7" w:rsidP="00567222">
            <w:pPr>
              <w:numPr>
                <w:ilvl w:val="0"/>
                <w:numId w:val="8"/>
              </w:numPr>
              <w:spacing w:after="0" w:line="240" w:lineRule="auto"/>
              <w:ind w:left="301" w:hanging="284"/>
              <w:jc w:val="both"/>
              <w:rPr>
                <w:rFonts w:ascii="Verdana" w:hAnsi="Verdana"/>
                <w:sz w:val="20"/>
                <w:szCs w:val="20"/>
              </w:rPr>
            </w:pPr>
            <w:r w:rsidRPr="00BE536E">
              <w:rPr>
                <w:rFonts w:ascii="Verdana" w:eastAsia="Times New Roman" w:hAnsi="Verdana"/>
                <w:b/>
                <w:bCs/>
                <w:color w:val="000000"/>
                <w:sz w:val="20"/>
                <w:szCs w:val="20"/>
                <w:lang w:eastAsia="ru-RU"/>
              </w:rPr>
              <w:t>Для остальных видов прочей дебиторской задолженности</w:t>
            </w:r>
            <w:r w:rsidRPr="00BE536E">
              <w:rPr>
                <w:rFonts w:ascii="Verdana" w:eastAsia="Times New Roman" w:hAnsi="Verdana"/>
                <w:bCs/>
                <w:color w:val="000000"/>
                <w:sz w:val="20"/>
                <w:szCs w:val="20"/>
                <w:lang w:eastAsia="ru-RU"/>
              </w:rPr>
              <w:t xml:space="preserve"> - дата передачи активов (денежных средств) лицу, в отношении которого возникает дебиторская задолженность.</w:t>
            </w:r>
          </w:p>
        </w:tc>
      </w:tr>
      <w:tr w:rsidR="009C22F7" w:rsidRPr="00BE536E" w14:paraId="514EEED1" w14:textId="77777777" w:rsidTr="00C819D7">
        <w:trPr>
          <w:trHeight w:val="845"/>
        </w:trPr>
        <w:tc>
          <w:tcPr>
            <w:tcW w:w="1984" w:type="dxa"/>
            <w:shd w:val="clear" w:color="auto" w:fill="A6A6A6"/>
          </w:tcPr>
          <w:p w14:paraId="21F13626"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lastRenderedPageBreak/>
              <w:t>Критерии прекращения признания</w:t>
            </w:r>
          </w:p>
        </w:tc>
        <w:tc>
          <w:tcPr>
            <w:tcW w:w="7371" w:type="dxa"/>
          </w:tcPr>
          <w:p w14:paraId="3DB71723" w14:textId="77777777" w:rsidR="009C22F7" w:rsidRPr="00BE536E" w:rsidRDefault="009C22F7" w:rsidP="00567222">
            <w:pPr>
              <w:numPr>
                <w:ilvl w:val="0"/>
                <w:numId w:val="8"/>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p>
          <w:p w14:paraId="33FF708F"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 дата исполнения обязательства перед ПИФ согласно Налоговому кодексу РФ, а так же дата решения об отказе в осуществлении зачета (возврата) сумм излишне уплаченного налога;</w:t>
            </w:r>
          </w:p>
          <w:p w14:paraId="698DE56E"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03A791BE"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p>
          <w:p w14:paraId="4E8EE543" w14:textId="77777777" w:rsidR="009C22F7" w:rsidRPr="00BE536E" w:rsidRDefault="009C22F7" w:rsidP="00D05311">
            <w:pPr>
              <w:numPr>
                <w:ilvl w:val="0"/>
                <w:numId w:val="79"/>
              </w:numPr>
              <w:spacing w:after="0" w:line="240" w:lineRule="auto"/>
              <w:ind w:left="317" w:hanging="283"/>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Дебиторская задолженность по налогам, сборам, пошлинам в бюджеты всех уровней:</w:t>
            </w:r>
          </w:p>
          <w:p w14:paraId="5AFE20DE" w14:textId="77777777" w:rsidR="009C22F7" w:rsidRPr="00BE536E" w:rsidRDefault="009C22F7" w:rsidP="00C819D7">
            <w:pPr>
              <w:spacing w:after="0" w:line="240" w:lineRule="auto"/>
              <w:ind w:left="317"/>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получения возмещения из бюджета полной суммы задолженности соответствующего налога, сбора, пошлины;</w:t>
            </w:r>
          </w:p>
          <w:p w14:paraId="623FC335"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решения об отказе в осуществлении зачета (возврата) сумм излишне уплаченного налога, сбора, пошлины;</w:t>
            </w:r>
          </w:p>
          <w:p w14:paraId="4330AAEF"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3D1A7521" w14:textId="77777777" w:rsidR="009C22F7" w:rsidRPr="00BE536E" w:rsidRDefault="009C22F7" w:rsidP="00C819D7">
            <w:pPr>
              <w:spacing w:after="0" w:line="240" w:lineRule="auto"/>
              <w:ind w:left="317"/>
              <w:jc w:val="both"/>
              <w:rPr>
                <w:rFonts w:ascii="Verdana" w:eastAsia="Times New Roman" w:hAnsi="Verdana"/>
                <w:bCs/>
                <w:color w:val="000000"/>
                <w:sz w:val="20"/>
                <w:szCs w:val="20"/>
                <w:lang w:eastAsia="ru-RU"/>
              </w:rPr>
            </w:pPr>
          </w:p>
          <w:p w14:paraId="3B0C58D1" w14:textId="77777777" w:rsidR="009C22F7" w:rsidRPr="00BE536E" w:rsidRDefault="009C22F7" w:rsidP="00567222">
            <w:pPr>
              <w:numPr>
                <w:ilvl w:val="0"/>
                <w:numId w:val="8"/>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Для остальных видов прочей дебиторской задолженности:</w:t>
            </w:r>
          </w:p>
          <w:p w14:paraId="63B81DFE"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исполнения обязательств перед ПИФ согласно договору;</w:t>
            </w:r>
          </w:p>
          <w:p w14:paraId="296391D6"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ликвидации контрагента – юридического лица согласно выписке из ЕГРЮЛ или дата получения информации о  смерти физического лица - должника;</w:t>
            </w:r>
          </w:p>
          <w:p w14:paraId="6BDE7C2E" w14:textId="77777777" w:rsidR="009C22F7" w:rsidRPr="00BE536E" w:rsidRDefault="009C22F7" w:rsidP="00C819D7">
            <w:pPr>
              <w:spacing w:after="0" w:line="240" w:lineRule="auto"/>
              <w:ind w:left="317"/>
              <w:jc w:val="both"/>
              <w:rPr>
                <w:rFonts w:ascii="Verdana" w:hAnsi="Verdana"/>
                <w:lang w:eastAsia="ru-RU"/>
              </w:rPr>
            </w:pPr>
            <w:r w:rsidRPr="00BE536E">
              <w:rPr>
                <w:rFonts w:ascii="Verdana" w:hAnsi="Verdana"/>
                <w:sz w:val="20"/>
                <w:lang w:eastAsia="ru-RU"/>
              </w:rPr>
              <w:t xml:space="preserve">- Дата экспертного (мотивированного) суждения Управляющей компании об отсутствии обоснованных ожиданий относительно получения предусмотренных договором денежных потоков, в случае, если дебиторская задолженность, может быть признана прекращенной в соответствии с общими положениями, указанными в Главе 26 Гражданского кодекса Российской Федерации. </w:t>
            </w:r>
          </w:p>
        </w:tc>
      </w:tr>
      <w:tr w:rsidR="009C22F7" w:rsidRPr="00BE536E" w14:paraId="7C39BDD3" w14:textId="77777777" w:rsidTr="00C819D7">
        <w:tc>
          <w:tcPr>
            <w:tcW w:w="1984" w:type="dxa"/>
            <w:shd w:val="clear" w:color="auto" w:fill="A6A6A6"/>
          </w:tcPr>
          <w:p w14:paraId="5C2C9660"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и сроки квалификации дебиторской задолженности как   операционной</w:t>
            </w:r>
          </w:p>
          <w:p w14:paraId="3591C189" w14:textId="77777777" w:rsidR="009C22F7" w:rsidRPr="00BE536E" w:rsidRDefault="009C22F7" w:rsidP="00C819D7">
            <w:pPr>
              <w:jc w:val="both"/>
              <w:rPr>
                <w:rFonts w:ascii="Verdana" w:hAnsi="Verdana"/>
                <w:bCs/>
                <w:i/>
                <w:sz w:val="20"/>
                <w:szCs w:val="20"/>
              </w:rPr>
            </w:pPr>
          </w:p>
        </w:tc>
        <w:tc>
          <w:tcPr>
            <w:tcW w:w="7371" w:type="dxa"/>
          </w:tcPr>
          <w:p w14:paraId="33BA6462" w14:textId="77777777" w:rsidR="009C22F7" w:rsidRPr="00BE536E" w:rsidRDefault="009C22F7" w:rsidP="00C819D7">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10A9E59C" w14:textId="77777777" w:rsidR="009C22F7" w:rsidRPr="00BE536E" w:rsidRDefault="009C22F7" w:rsidP="00C819D7">
            <w:pPr>
              <w:spacing w:after="0" w:line="240" w:lineRule="auto"/>
              <w:ind w:left="317"/>
              <w:jc w:val="both"/>
              <w:rPr>
                <w:rFonts w:ascii="Verdana" w:eastAsia="Times New Roman" w:hAnsi="Verdana"/>
                <w:bCs/>
                <w:sz w:val="20"/>
                <w:szCs w:val="20"/>
                <w:lang w:eastAsia="ru-RU"/>
              </w:rPr>
            </w:pPr>
          </w:p>
          <w:p w14:paraId="60DA5BA0" w14:textId="77777777" w:rsidR="009C22F7" w:rsidRPr="00BE536E"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Дебиторская задолженность, возникшая в результате совершения сделок с имуществом ПИФ</w:t>
            </w:r>
            <w:r w:rsidRPr="00BE536E">
              <w:rPr>
                <w:rFonts w:ascii="Verdana" w:eastAsia="Times New Roman" w:hAnsi="Verdana"/>
                <w:bCs/>
                <w:color w:val="000000"/>
                <w:sz w:val="20"/>
                <w:szCs w:val="20"/>
                <w:lang w:eastAsia="ru-RU"/>
              </w:rPr>
              <w:t>, по которым наступила наиболее ранняя дата расчетов, если общий срок погашения такой задолженности согласно условиям сделки не превышает 15 рабочих дней (с учетом срока пролонгации и перезаключений договоров), - с даты признания до даты погашения согласно условиям сделки. При этом допустимый срок нарушения обязательств контрагентом составляет 3 рабочих дня, в течение которых задолженность также  квалифицируется операционной.</w:t>
            </w:r>
          </w:p>
          <w:p w14:paraId="33F9EDAE" w14:textId="77777777" w:rsidR="009C22F7" w:rsidRPr="00BE536E" w:rsidRDefault="009C22F7" w:rsidP="00C819D7">
            <w:pPr>
              <w:spacing w:after="0" w:line="240" w:lineRule="auto"/>
              <w:ind w:left="318"/>
              <w:jc w:val="both"/>
              <w:rPr>
                <w:rFonts w:ascii="Verdana" w:eastAsia="Times New Roman" w:hAnsi="Verdana"/>
                <w:bCs/>
                <w:color w:val="000000"/>
                <w:sz w:val="20"/>
                <w:szCs w:val="20"/>
                <w:lang w:eastAsia="ru-RU"/>
              </w:rPr>
            </w:pPr>
          </w:p>
          <w:p w14:paraId="161FFCE9" w14:textId="77777777" w:rsidR="009C22F7" w:rsidRPr="00BE536E"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sz w:val="20"/>
                <w:szCs w:val="20"/>
                <w:lang w:eastAsia="ru-RU"/>
              </w:rPr>
              <w:t>Дебиторская задолженность, возникающая в случае задержки перерегистрации имущества регистрационным органом</w:t>
            </w:r>
            <w:r w:rsidRPr="00BE536E">
              <w:rPr>
                <w:rFonts w:ascii="Verdana" w:eastAsia="Times New Roman" w:hAnsi="Verdana"/>
                <w:bCs/>
                <w:sz w:val="20"/>
                <w:szCs w:val="20"/>
                <w:lang w:eastAsia="ru-RU"/>
              </w:rPr>
              <w:t xml:space="preserve"> – с даты возникновения до даты погашения </w:t>
            </w:r>
            <w:r w:rsidRPr="00BE536E">
              <w:rPr>
                <w:rFonts w:ascii="Verdana" w:eastAsia="Times New Roman" w:hAnsi="Verdana"/>
                <w:bCs/>
                <w:color w:val="000000"/>
                <w:sz w:val="20"/>
                <w:szCs w:val="20"/>
                <w:lang w:eastAsia="ru-RU"/>
              </w:rPr>
              <w:t>квалифицируется в качестве</w:t>
            </w:r>
            <w:r w:rsidRPr="00BE536E">
              <w:rPr>
                <w:rFonts w:ascii="Verdana" w:eastAsia="Times New Roman" w:hAnsi="Verdana"/>
                <w:bCs/>
                <w:sz w:val="20"/>
                <w:szCs w:val="20"/>
                <w:lang w:eastAsia="ru-RU"/>
              </w:rPr>
              <w:t xml:space="preserve"> операционной.</w:t>
            </w:r>
          </w:p>
          <w:p w14:paraId="6436422C" w14:textId="77777777" w:rsidR="009C22F7" w:rsidRPr="00BE536E" w:rsidRDefault="009C22F7" w:rsidP="00C819D7">
            <w:pPr>
              <w:spacing w:after="0" w:line="240" w:lineRule="auto"/>
              <w:ind w:left="34"/>
              <w:jc w:val="both"/>
              <w:rPr>
                <w:rFonts w:ascii="Verdana" w:eastAsia="Times New Roman" w:hAnsi="Verdana"/>
                <w:bCs/>
                <w:color w:val="000000"/>
                <w:sz w:val="20"/>
                <w:szCs w:val="20"/>
                <w:lang w:eastAsia="ru-RU"/>
              </w:rPr>
            </w:pPr>
          </w:p>
          <w:p w14:paraId="10956F6C" w14:textId="77777777" w:rsidR="009C22F7" w:rsidRPr="00BE536E"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lastRenderedPageBreak/>
              <w:t>Авансы, выданные по сделкам</w:t>
            </w:r>
            <w:r w:rsidRPr="00BE536E">
              <w:rPr>
                <w:rFonts w:ascii="Verdana" w:eastAsia="Times New Roman" w:hAnsi="Verdana"/>
                <w:bCs/>
                <w:color w:val="000000"/>
                <w:sz w:val="20"/>
                <w:szCs w:val="20"/>
                <w:lang w:eastAsia="ru-RU"/>
              </w:rPr>
              <w:t xml:space="preserve"> за счет имущества ПИФ квалифицируется операционной дебиторской задолженностью с даты выдачи аванса до даты погашения обязательств контрагентом согласно условиям сделки (если срок погашения аванса в соответствии с договором  составляет не более 15 рабочих дней с учетом срока пролонгации и перезаключений договоров). При этом допустимый срок нарушения обязательств контрагентом составляет 3 рабочих дня, в течение которых задолженность также квалифицируется операционной.</w:t>
            </w:r>
          </w:p>
          <w:p w14:paraId="4FE0491E" w14:textId="77777777" w:rsidR="009C22F7" w:rsidRPr="00BE536E" w:rsidRDefault="009C22F7" w:rsidP="00C819D7">
            <w:pPr>
              <w:rPr>
                <w:rFonts w:ascii="Verdana" w:eastAsia="Times New Roman" w:hAnsi="Verdana"/>
                <w:bCs/>
                <w:color w:val="000000"/>
                <w:sz w:val="20"/>
                <w:szCs w:val="20"/>
                <w:lang w:eastAsia="ru-RU"/>
              </w:rPr>
            </w:pPr>
          </w:p>
          <w:p w14:paraId="6A61D74B" w14:textId="77777777" w:rsidR="009C22F7" w:rsidRPr="00BE536E" w:rsidRDefault="009C22F7" w:rsidP="00567222">
            <w:pPr>
              <w:numPr>
                <w:ilvl w:val="0"/>
                <w:numId w:val="15"/>
              </w:numPr>
              <w:ind w:left="317"/>
              <w:jc w:val="both"/>
              <w:rPr>
                <w:rFonts w:ascii="Times New Roman" w:hAnsi="Times New Roman"/>
                <w:sz w:val="24"/>
                <w:szCs w:val="24"/>
              </w:rPr>
            </w:pPr>
            <w:r w:rsidRPr="00BE536E">
              <w:rPr>
                <w:rFonts w:ascii="Verdana" w:eastAsia="Times New Roman" w:hAnsi="Verdana"/>
                <w:b/>
                <w:bCs/>
                <w:color w:val="000000"/>
                <w:sz w:val="20"/>
                <w:szCs w:val="20"/>
                <w:lang w:eastAsia="ru-RU"/>
              </w:rPr>
              <w:t>Дебиторская задолженность управляющей компании перед ПИФ</w:t>
            </w:r>
            <w:r w:rsidRPr="00BE536E">
              <w:rPr>
                <w:rFonts w:ascii="Verdana" w:eastAsia="Times New Roman" w:hAnsi="Verdana"/>
                <w:bCs/>
                <w:color w:val="000000"/>
                <w:sz w:val="20"/>
                <w:szCs w:val="20"/>
                <w:lang w:eastAsia="ru-RU"/>
              </w:rPr>
              <w:t xml:space="preserve"> - в течение 25 рабочих дней с даты возникновения квалифицируется в качестве операционной. При наличии обоснованного экспертного (мотивированного) суждения Управляющей компании о том, что увеличение сроков погашения дебиторской задолженности не является следствием негативных процессов, возникших в деятельности управляющей компании, а также наличие документального подтверждения от управляющей компании сроков погашения задолженности, такая задолженность продолжает относиться к операционной.</w:t>
            </w:r>
          </w:p>
          <w:p w14:paraId="468D3874" w14:textId="77777777" w:rsidR="009C22F7" w:rsidRPr="00BE536E" w:rsidRDefault="009C22F7" w:rsidP="00C819D7">
            <w:pPr>
              <w:rPr>
                <w:rFonts w:ascii="Verdana" w:eastAsia="Times New Roman" w:hAnsi="Verdana"/>
                <w:bCs/>
                <w:color w:val="000000"/>
                <w:sz w:val="20"/>
                <w:szCs w:val="20"/>
                <w:lang w:eastAsia="ru-RU"/>
              </w:rPr>
            </w:pPr>
          </w:p>
          <w:p w14:paraId="32BB9CAC" w14:textId="77777777" w:rsidR="009C22F7" w:rsidRPr="00BE536E"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Дебиторская задолженность, возникшая по договорам с аудиторской организацией, оценщиком, специализированным депозитарием, регистратором, указанными в Правилах ДУ ПИФ</w:t>
            </w:r>
            <w:r w:rsidR="00BA43DC" w:rsidRPr="00BE536E">
              <w:rPr>
                <w:rFonts w:ascii="Verdana" w:eastAsia="Times New Roman" w:hAnsi="Verdana"/>
                <w:b/>
                <w:bCs/>
                <w:color w:val="000000"/>
                <w:sz w:val="20"/>
                <w:szCs w:val="20"/>
                <w:lang w:eastAsia="ru-RU"/>
              </w:rPr>
              <w:t>, а так же дебиторская задолженность, возникшая при оплате расходов, связанных с доверительным управлением ПИФ</w:t>
            </w:r>
            <w:r w:rsidRPr="00BE536E">
              <w:rPr>
                <w:rFonts w:ascii="Verdana" w:eastAsia="Times New Roman" w:hAnsi="Verdana"/>
                <w:bCs/>
                <w:color w:val="000000"/>
                <w:sz w:val="20"/>
                <w:szCs w:val="20"/>
                <w:lang w:eastAsia="ru-RU"/>
              </w:rPr>
              <w:t xml:space="preserve"> – с даты  признания до даты окончания срока исполнения обязательства в соответствии с условиями заключенных договоров. Допустимый срок нарушения обязательств указанными контрагентами составляет 3 рабочих дня, в течение которых задолженность все еще квалифицируется операционной. При наличии обоснованного экспертного (мотивированного) суждения Управляющей компании о том, что увеличение сроков оказания услуг или погашения дебиторской задолженности не является следствием негативных процессов, возникших в деятельности должника или при наличии документального подтверждения от контрагента иных сроков погашения задолженности / оказания услуг ПИФ является основанием для увеличения срока квалификации такой задолженности в качестве операционной до даты, указанной в представленных документах.</w:t>
            </w:r>
          </w:p>
          <w:p w14:paraId="627646DA" w14:textId="77777777" w:rsidR="009C22F7" w:rsidRPr="00BE536E" w:rsidRDefault="009C22F7" w:rsidP="00C819D7">
            <w:pPr>
              <w:rPr>
                <w:rFonts w:ascii="Verdana" w:eastAsia="Times New Roman" w:hAnsi="Verdana"/>
                <w:iCs/>
                <w:sz w:val="20"/>
                <w:szCs w:val="20"/>
                <w:lang w:eastAsia="ru-RU"/>
              </w:rPr>
            </w:pPr>
          </w:p>
          <w:p w14:paraId="6E890743" w14:textId="77777777" w:rsidR="009C22F7" w:rsidRPr="00BE536E"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
                <w:bCs/>
                <w:color w:val="000000"/>
                <w:sz w:val="20"/>
                <w:szCs w:val="20"/>
                <w:lang w:eastAsia="ru-RU"/>
              </w:rPr>
              <w:t>Дебиторская задолженность по договорам аренды (в т.ч. коммунальные платежи, подлежащие оплате арендатором)</w:t>
            </w:r>
            <w:r w:rsidRPr="00BE536E">
              <w:rPr>
                <w:rFonts w:ascii="Verdana" w:eastAsia="Times New Roman" w:hAnsi="Verdana"/>
                <w:bCs/>
                <w:color w:val="000000"/>
                <w:sz w:val="20"/>
                <w:szCs w:val="20"/>
                <w:lang w:eastAsia="ru-RU"/>
              </w:rPr>
              <w:t xml:space="preserve"> срок погашения которой не превышает 10 рабочих дней с даты окончания арендного периода классифицируется операционной с даты признания до даты погашения в соответствии с условиям договора аренды. При этом допустимый срок нарушения арендатором исполнения обязательств составляет не более 10 рабочих дней, в течение </w:t>
            </w:r>
            <w:r w:rsidRPr="00BE536E">
              <w:rPr>
                <w:rFonts w:ascii="Verdana" w:eastAsia="Times New Roman" w:hAnsi="Verdana"/>
                <w:bCs/>
                <w:color w:val="000000"/>
                <w:sz w:val="20"/>
                <w:szCs w:val="20"/>
                <w:lang w:eastAsia="ru-RU"/>
              </w:rPr>
              <w:lastRenderedPageBreak/>
              <w:t>которых задолженность по аренде продолжает классифицироваться как операционная.</w:t>
            </w:r>
          </w:p>
          <w:p w14:paraId="19E88F07" w14:textId="77777777" w:rsidR="009C22F7" w:rsidRPr="00BE536E" w:rsidRDefault="009C22F7" w:rsidP="00C819D7">
            <w:pPr>
              <w:rPr>
                <w:rFonts w:ascii="Verdana" w:eastAsia="Times New Roman" w:hAnsi="Verdana"/>
                <w:iCs/>
                <w:sz w:val="20"/>
                <w:szCs w:val="20"/>
                <w:lang w:eastAsia="ru-RU"/>
              </w:rPr>
            </w:pPr>
          </w:p>
          <w:p w14:paraId="09C3B26C"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p w14:paraId="33A09986"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p w14:paraId="332E7DAD" w14:textId="77777777" w:rsidR="009C22F7" w:rsidRPr="00BE536E"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
                <w:bCs/>
                <w:color w:val="000000"/>
                <w:sz w:val="20"/>
                <w:szCs w:val="20"/>
                <w:lang w:eastAsia="ru-RU"/>
              </w:rPr>
              <w:t>Дебиторская задолженность, возникшая в результате перевода денежных средств («деньги в пути»)</w:t>
            </w:r>
            <w:r w:rsidRPr="00BE536E">
              <w:rPr>
                <w:rFonts w:ascii="Verdana" w:eastAsia="Times New Roman" w:hAnsi="Verdana"/>
                <w:bCs/>
                <w:color w:val="000000"/>
                <w:sz w:val="20"/>
                <w:szCs w:val="20"/>
                <w:lang w:eastAsia="ru-RU"/>
              </w:rPr>
              <w:t xml:space="preserve"> – в течение 3 рабочих дней с даты признания такой задолженности.</w:t>
            </w:r>
          </w:p>
          <w:p w14:paraId="19982114" w14:textId="77777777" w:rsidR="009C22F7" w:rsidRPr="00BE536E" w:rsidRDefault="009C22F7" w:rsidP="00C819D7">
            <w:pPr>
              <w:spacing w:after="0" w:line="240" w:lineRule="auto"/>
              <w:ind w:left="318"/>
              <w:jc w:val="both"/>
              <w:rPr>
                <w:rFonts w:ascii="Verdana" w:eastAsia="Times New Roman" w:hAnsi="Verdana"/>
                <w:bCs/>
                <w:sz w:val="20"/>
                <w:szCs w:val="20"/>
                <w:lang w:eastAsia="ru-RU"/>
              </w:rPr>
            </w:pPr>
          </w:p>
        </w:tc>
      </w:tr>
      <w:tr w:rsidR="009C22F7" w:rsidRPr="00BE536E" w14:paraId="540FE08E" w14:textId="77777777" w:rsidTr="00C819D7">
        <w:tc>
          <w:tcPr>
            <w:tcW w:w="1984" w:type="dxa"/>
            <w:shd w:val="clear" w:color="auto" w:fill="A6A6A6"/>
          </w:tcPr>
          <w:p w14:paraId="4E344562"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lastRenderedPageBreak/>
              <w:t>Справедливая стоимость</w:t>
            </w:r>
          </w:p>
        </w:tc>
        <w:tc>
          <w:tcPr>
            <w:tcW w:w="7371" w:type="dxa"/>
          </w:tcPr>
          <w:p w14:paraId="465692A6" w14:textId="77777777" w:rsidR="009C22F7" w:rsidRPr="00BE536E" w:rsidRDefault="009C22F7" w:rsidP="00C819D7">
            <w:pPr>
              <w:spacing w:after="0" w:line="240" w:lineRule="auto"/>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Справедливая стоимость прочей дебиторской задолженности определяется:</w:t>
            </w:r>
          </w:p>
          <w:p w14:paraId="0244C02D" w14:textId="77777777" w:rsidR="009C22F7" w:rsidRPr="00BE536E" w:rsidRDefault="009C22F7" w:rsidP="00567222">
            <w:pPr>
              <w:numPr>
                <w:ilvl w:val="0"/>
                <w:numId w:val="19"/>
              </w:numPr>
              <w:spacing w:after="0" w:line="240" w:lineRule="auto"/>
              <w:ind w:left="284" w:hanging="284"/>
              <w:jc w:val="both"/>
              <w:rPr>
                <w:rFonts w:ascii="Verdana" w:eastAsia="Times New Roman" w:hAnsi="Verdana"/>
                <w:bCs/>
                <w:sz w:val="20"/>
                <w:szCs w:val="20"/>
                <w:lang w:eastAsia="ru-RU"/>
              </w:rPr>
            </w:pPr>
            <w:r w:rsidRPr="00BE536E">
              <w:rPr>
                <w:rFonts w:ascii="Verdana" w:eastAsia="Times New Roman" w:hAnsi="Verdana"/>
                <w:b/>
                <w:bCs/>
                <w:sz w:val="20"/>
                <w:szCs w:val="20"/>
                <w:lang w:eastAsia="ru-RU"/>
              </w:rPr>
              <w:t>в сумме фактического остатка задолженности</w:t>
            </w:r>
            <w:r w:rsidRPr="00BE536E">
              <w:rPr>
                <w:rFonts w:ascii="Verdana" w:eastAsia="Times New Roman" w:hAnsi="Verdana"/>
                <w:bCs/>
                <w:sz w:val="20"/>
                <w:szCs w:val="20"/>
                <w:lang w:eastAsia="ru-RU"/>
              </w:rPr>
              <w:t xml:space="preserve"> </w:t>
            </w:r>
            <w:r w:rsidRPr="00BE536E">
              <w:rPr>
                <w:rFonts w:ascii="Verdana" w:eastAsia="Times New Roman" w:hAnsi="Verdana"/>
                <w:b/>
                <w:bCs/>
                <w:sz w:val="20"/>
                <w:szCs w:val="20"/>
                <w:lang w:eastAsia="ru-RU"/>
              </w:rPr>
              <w:t>на дату определения справедливой стоимости/дату определения СЧА*:</w:t>
            </w:r>
          </w:p>
          <w:p w14:paraId="228D37F8" w14:textId="77777777" w:rsidR="009C22F7" w:rsidRPr="00BE536E" w:rsidRDefault="009C22F7" w:rsidP="00C819D7">
            <w:pPr>
              <w:spacing w:after="0" w:line="240" w:lineRule="auto"/>
              <w:ind w:left="459" w:hanging="141"/>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для всей дебиторской задолженности, указанной в настоящем приложении, в период квалификации такой задолженности в качестве операционной; </w:t>
            </w:r>
          </w:p>
          <w:p w14:paraId="1EA8F2B9" w14:textId="77777777" w:rsidR="009C22F7" w:rsidRPr="00BE536E" w:rsidRDefault="009C22F7" w:rsidP="00C819D7">
            <w:pPr>
              <w:spacing w:after="0" w:line="240" w:lineRule="auto"/>
              <w:ind w:left="459" w:hanging="141"/>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для дебиторской задолженности по налогам, сборам, пошлинам в бюджеты всех уровней;</w:t>
            </w:r>
          </w:p>
          <w:p w14:paraId="52747494"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r w:rsidRPr="00BE536E">
              <w:rPr>
                <w:rFonts w:ascii="Verdana" w:eastAsia="Times New Roman" w:hAnsi="Verdana"/>
                <w:bCs/>
                <w:sz w:val="20"/>
                <w:szCs w:val="20"/>
                <w:lang w:eastAsia="ru-RU"/>
              </w:rPr>
              <w:t xml:space="preserve">- </w:t>
            </w:r>
            <w:r w:rsidRPr="00BE536E">
              <w:rPr>
                <w:rFonts w:ascii="Verdana" w:eastAsia="Times New Roman" w:hAnsi="Verdana"/>
                <w:bCs/>
                <w:color w:val="000000"/>
                <w:sz w:val="20"/>
                <w:szCs w:val="20"/>
                <w:lang w:eastAsia="ru-RU"/>
              </w:rPr>
              <w:t>для дебиторской задолженности по возмещению суммы налогов из бюджета РФ.</w:t>
            </w:r>
          </w:p>
          <w:p w14:paraId="58A935A5" w14:textId="77777777" w:rsidR="009C22F7" w:rsidRPr="00BE536E" w:rsidRDefault="009C22F7" w:rsidP="00C819D7">
            <w:pPr>
              <w:spacing w:after="0" w:line="240" w:lineRule="auto"/>
              <w:ind w:left="459" w:hanging="141"/>
              <w:jc w:val="both"/>
              <w:rPr>
                <w:rFonts w:ascii="Verdana" w:eastAsia="Times New Roman" w:hAnsi="Verdana"/>
                <w:bCs/>
                <w:sz w:val="20"/>
                <w:szCs w:val="20"/>
                <w:lang w:eastAsia="ru-RU"/>
              </w:rPr>
            </w:pPr>
          </w:p>
          <w:p w14:paraId="6E7BD9A6" w14:textId="77777777" w:rsidR="009C22F7" w:rsidRPr="00BE536E" w:rsidRDefault="009C22F7" w:rsidP="00C819D7">
            <w:pPr>
              <w:spacing w:after="0" w:line="240" w:lineRule="auto"/>
              <w:jc w:val="both"/>
              <w:rPr>
                <w:rFonts w:ascii="Verdana" w:eastAsia="Times New Roman" w:hAnsi="Verdana"/>
                <w:bCs/>
                <w:sz w:val="18"/>
                <w:szCs w:val="20"/>
                <w:lang w:eastAsia="ru-RU"/>
              </w:rPr>
            </w:pPr>
            <w:r w:rsidRPr="00BE536E">
              <w:rPr>
                <w:rFonts w:ascii="Verdana" w:eastAsia="Times New Roman" w:hAnsi="Verdana"/>
                <w:b/>
                <w:bCs/>
                <w:sz w:val="18"/>
                <w:szCs w:val="20"/>
                <w:lang w:eastAsia="ru-RU"/>
              </w:rPr>
              <w:t>*</w:t>
            </w:r>
            <w:r w:rsidRPr="00BE536E">
              <w:rPr>
                <w:rFonts w:ascii="Verdana" w:eastAsia="Times New Roman" w:hAnsi="Verdana"/>
                <w:bCs/>
                <w:sz w:val="18"/>
                <w:szCs w:val="20"/>
                <w:lang w:eastAsia="ru-RU"/>
              </w:rPr>
              <w:t>Дебиторская задолженность рассчитывается на каждую дату определения справедливой стоимости. В случае, если размер дебиторской задолженности не может быть точно определен на дату определения СЧА, то, используются методы аппроксимации величин.</w:t>
            </w:r>
            <w:r w:rsidRPr="00BE536E">
              <w:rPr>
                <w:rStyle w:val="ab"/>
                <w:rFonts w:ascii="Verdana" w:eastAsia="Times New Roman" w:hAnsi="Verdana"/>
                <w:sz w:val="18"/>
                <w:lang w:eastAsia="ru-RU"/>
              </w:rPr>
              <w:footnoteReference w:id="33"/>
            </w:r>
          </w:p>
          <w:p w14:paraId="2059A5ED" w14:textId="77777777" w:rsidR="009C22F7" w:rsidRPr="00BE536E" w:rsidRDefault="009C22F7" w:rsidP="00C819D7">
            <w:pPr>
              <w:spacing w:after="0" w:line="240" w:lineRule="auto"/>
              <w:jc w:val="both"/>
              <w:rPr>
                <w:rFonts w:ascii="Verdana" w:eastAsia="Times New Roman" w:hAnsi="Verdana"/>
                <w:b/>
                <w:bCs/>
                <w:sz w:val="18"/>
                <w:szCs w:val="20"/>
                <w:lang w:eastAsia="ru-RU"/>
              </w:rPr>
            </w:pPr>
          </w:p>
          <w:p w14:paraId="2A3F28E0" w14:textId="77777777" w:rsidR="009C22F7" w:rsidRPr="00BE536E" w:rsidRDefault="009C22F7" w:rsidP="00567222">
            <w:pPr>
              <w:numPr>
                <w:ilvl w:val="0"/>
                <w:numId w:val="19"/>
              </w:numPr>
              <w:spacing w:after="0" w:line="240" w:lineRule="auto"/>
              <w:ind w:left="284" w:hanging="250"/>
              <w:jc w:val="both"/>
              <w:rPr>
                <w:rFonts w:ascii="Verdana" w:eastAsia="Times New Roman" w:hAnsi="Verdana"/>
                <w:bCs/>
                <w:sz w:val="20"/>
                <w:szCs w:val="20"/>
                <w:lang w:eastAsia="ru-RU"/>
              </w:rPr>
            </w:pPr>
            <w:r w:rsidRPr="00BE536E">
              <w:rPr>
                <w:rFonts w:ascii="Verdana" w:eastAsia="Times New Roman" w:hAnsi="Verdana"/>
                <w:b/>
                <w:bCs/>
                <w:sz w:val="20"/>
                <w:szCs w:val="20"/>
                <w:lang w:eastAsia="ru-RU"/>
              </w:rPr>
              <w:t>в сумме, определенной с использованием метода приведенной стоимости будущих денежных потоков с учетом кредитных рисков</w:t>
            </w:r>
            <w:r w:rsidRPr="00BE536E">
              <w:rPr>
                <w:rFonts w:ascii="Verdana" w:eastAsia="Times New Roman" w:hAnsi="Verdana"/>
                <w:bCs/>
                <w:sz w:val="20"/>
                <w:szCs w:val="20"/>
                <w:lang w:eastAsia="ru-RU"/>
              </w:rPr>
              <w:t xml:space="preserve"> (</w:t>
            </w:r>
            <w:hyperlink w:anchor="_Приложение_6._Метод" w:history="1">
              <w:r w:rsidR="006700EB" w:rsidRPr="00BE536E">
                <w:rPr>
                  <w:rStyle w:val="a5"/>
                  <w:rFonts w:ascii="Verdana" w:hAnsi="Verdana"/>
                  <w:sz w:val="20"/>
                  <w:szCs w:val="20"/>
                </w:rPr>
                <w:t xml:space="preserve">Приложение </w:t>
              </w:r>
              <w:r w:rsidR="006700EB" w:rsidRPr="00BE536E">
                <w:rPr>
                  <w:rStyle w:val="a5"/>
                  <w:rFonts w:ascii="Verdana" w:eastAsia="Times New Roman" w:hAnsi="Verdana"/>
                  <w:bCs/>
                  <w:sz w:val="20"/>
                  <w:szCs w:val="20"/>
                  <w:lang w:eastAsia="ru-RU"/>
                </w:rPr>
                <w:t>5</w:t>
              </w:r>
            </w:hyperlink>
            <w:r w:rsidRPr="00BE536E">
              <w:rPr>
                <w:rFonts w:ascii="Verdana" w:eastAsia="Times New Roman" w:hAnsi="Verdana"/>
                <w:bCs/>
                <w:sz w:val="20"/>
                <w:szCs w:val="20"/>
                <w:lang w:eastAsia="ru-RU"/>
              </w:rPr>
              <w:t>) во всех иных случаях.</w:t>
            </w:r>
          </w:p>
        </w:tc>
      </w:tr>
      <w:tr w:rsidR="009C22F7" w:rsidRPr="00BE536E" w14:paraId="6423931B" w14:textId="77777777" w:rsidTr="00C819D7">
        <w:trPr>
          <w:trHeight w:val="1692"/>
        </w:trPr>
        <w:tc>
          <w:tcPr>
            <w:tcW w:w="1984" w:type="dxa"/>
            <w:tcBorders>
              <w:bottom w:val="single" w:sz="4" w:space="0" w:color="FF0000"/>
            </w:tcBorders>
            <w:shd w:val="clear" w:color="auto" w:fill="A6A6A6"/>
          </w:tcPr>
          <w:p w14:paraId="002696DC" w14:textId="77777777" w:rsidR="009C22F7" w:rsidRPr="00BE536E" w:rsidRDefault="009C22F7" w:rsidP="00C819D7">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Borders>
              <w:bottom w:val="single" w:sz="4" w:space="0" w:color="FF0000"/>
            </w:tcBorders>
          </w:tcPr>
          <w:p w14:paraId="63761F48" w14:textId="77777777" w:rsidR="009C22F7" w:rsidRPr="00BE536E" w:rsidRDefault="009C22F7" w:rsidP="00C819D7">
            <w:pPr>
              <w:tabs>
                <w:tab w:val="left" w:pos="459"/>
              </w:tabs>
              <w:spacing w:after="0"/>
              <w:jc w:val="both"/>
              <w:rPr>
                <w:rFonts w:ascii="Verdana" w:hAnsi="Verdana"/>
                <w:sz w:val="20"/>
                <w:szCs w:val="20"/>
              </w:rPr>
            </w:pPr>
            <w:r w:rsidRPr="00BE536E">
              <w:rPr>
                <w:rFonts w:ascii="Verdana" w:eastAsia="Times New Roman" w:hAnsi="Verdana"/>
                <w:bCs/>
                <w:sz w:val="20"/>
                <w:szCs w:val="20"/>
                <w:lang w:eastAsia="ru-RU"/>
              </w:rPr>
              <w:t>Дебиторская задолженность по возмещению налогов из бюджета, а так же дебиторская задолженность по налогам, сборам, пошлинам в бюджеты всех уровней не обесценивается независимо от срочности ее погашения.</w:t>
            </w:r>
          </w:p>
          <w:p w14:paraId="459AF130" w14:textId="77777777" w:rsidR="009C22F7" w:rsidRPr="00BE536E" w:rsidRDefault="009C22F7" w:rsidP="00C819D7">
            <w:pPr>
              <w:autoSpaceDE w:val="0"/>
              <w:autoSpaceDN w:val="0"/>
              <w:spacing w:after="0" w:line="240" w:lineRule="auto"/>
              <w:jc w:val="both"/>
              <w:rPr>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6700EB" w:rsidRPr="00BE536E">
                <w:rPr>
                  <w:rStyle w:val="a5"/>
                  <w:rFonts w:ascii="Verdana" w:hAnsi="Verdana"/>
                  <w:sz w:val="20"/>
                  <w:szCs w:val="20"/>
                </w:rPr>
                <w:t>Приложении 5</w:t>
              </w:r>
            </w:hyperlink>
            <w:r w:rsidRPr="00BE536E">
              <w:rPr>
                <w:rFonts w:ascii="Verdana" w:hAnsi="Verdana"/>
                <w:sz w:val="20"/>
                <w:szCs w:val="20"/>
              </w:rPr>
              <w:t>.</w:t>
            </w:r>
          </w:p>
        </w:tc>
      </w:tr>
    </w:tbl>
    <w:p w14:paraId="43CF5663" w14:textId="77777777" w:rsidR="009C22F7" w:rsidRPr="00BE536E" w:rsidRDefault="009C22F7" w:rsidP="009C22F7">
      <w:pPr>
        <w:spacing w:line="360" w:lineRule="auto"/>
        <w:jc w:val="both"/>
        <w:rPr>
          <w:rFonts w:ascii="Verdana" w:hAnsi="Verdana"/>
        </w:rPr>
      </w:pPr>
    </w:p>
    <w:p w14:paraId="0431FD2B" w14:textId="77777777" w:rsidR="00280039" w:rsidRPr="00BE536E" w:rsidRDefault="00280039" w:rsidP="009C22F7">
      <w:pPr>
        <w:spacing w:line="360" w:lineRule="auto"/>
        <w:jc w:val="both"/>
        <w:rPr>
          <w:rFonts w:ascii="Verdana" w:hAnsi="Verdana"/>
        </w:rPr>
      </w:pPr>
    </w:p>
    <w:p w14:paraId="0CCA0F00" w14:textId="77777777" w:rsidR="00280039" w:rsidRPr="00BE536E" w:rsidRDefault="00280039" w:rsidP="009C22F7">
      <w:pPr>
        <w:spacing w:line="360" w:lineRule="auto"/>
        <w:jc w:val="both"/>
        <w:rPr>
          <w:rFonts w:ascii="Verdana" w:hAnsi="Verdana"/>
        </w:rPr>
      </w:pPr>
    </w:p>
    <w:p w14:paraId="3EAE2534" w14:textId="5D649FB2"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19</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Недвижимое имущество</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541FF889" w14:textId="77777777" w:rsidTr="00C819D7">
        <w:trPr>
          <w:trHeight w:val="363"/>
        </w:trPr>
        <w:tc>
          <w:tcPr>
            <w:tcW w:w="1984" w:type="dxa"/>
            <w:shd w:val="clear" w:color="auto" w:fill="A6A6A6"/>
          </w:tcPr>
          <w:p w14:paraId="39D60A31"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6351CC85" w14:textId="77777777" w:rsidR="009C22F7" w:rsidRPr="00BE536E" w:rsidRDefault="009C22F7" w:rsidP="00C819D7">
            <w:pPr>
              <w:spacing w:after="0" w:line="240" w:lineRule="auto"/>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Недвижимое имущество</w:t>
            </w:r>
          </w:p>
        </w:tc>
      </w:tr>
      <w:tr w:rsidR="009C22F7" w:rsidRPr="00BE536E" w14:paraId="549DF7C5" w14:textId="77777777" w:rsidTr="00C819D7">
        <w:trPr>
          <w:trHeight w:val="595"/>
        </w:trPr>
        <w:tc>
          <w:tcPr>
            <w:tcW w:w="1984" w:type="dxa"/>
            <w:shd w:val="clear" w:color="auto" w:fill="A6A6A6"/>
          </w:tcPr>
          <w:p w14:paraId="698E8106" w14:textId="77777777" w:rsidR="009C22F7" w:rsidRPr="00BE536E" w:rsidRDefault="009C22F7" w:rsidP="00C819D7">
            <w:pPr>
              <w:rPr>
                <w:rFonts w:ascii="Verdana" w:hAnsi="Verdana"/>
                <w:i/>
                <w:sz w:val="20"/>
                <w:szCs w:val="20"/>
              </w:rPr>
            </w:pPr>
            <w:r w:rsidRPr="00BE536E">
              <w:rPr>
                <w:rFonts w:ascii="Verdana" w:hAnsi="Verdana"/>
                <w:i/>
                <w:sz w:val="20"/>
                <w:szCs w:val="20"/>
              </w:rPr>
              <w:t>Критерии признания</w:t>
            </w:r>
          </w:p>
        </w:tc>
        <w:tc>
          <w:tcPr>
            <w:tcW w:w="7371" w:type="dxa"/>
          </w:tcPr>
          <w:p w14:paraId="1AF8BA8B" w14:textId="77777777" w:rsidR="00875873" w:rsidRPr="00BE536E" w:rsidRDefault="00875873" w:rsidP="00567222">
            <w:pPr>
              <w:autoSpaceDN w:val="0"/>
              <w:adjustRightInd w:val="0"/>
              <w:spacing w:after="0" w:line="240" w:lineRule="auto"/>
              <w:jc w:val="both"/>
              <w:rPr>
                <w:color w:val="000000" w:themeColor="text1"/>
                <w:sz w:val="24"/>
                <w:szCs w:val="24"/>
                <w:lang w:eastAsia="ru-RU"/>
              </w:rPr>
            </w:pPr>
            <w:r w:rsidRPr="00BE536E">
              <w:rPr>
                <w:color w:val="000000" w:themeColor="text1"/>
                <w:sz w:val="24"/>
                <w:szCs w:val="24"/>
                <w:lang w:val="en-US" w:eastAsia="ru-RU"/>
              </w:rPr>
              <w:t>I</w:t>
            </w:r>
            <w:r w:rsidRPr="00BE536E">
              <w:rPr>
                <w:color w:val="000000" w:themeColor="text1"/>
                <w:sz w:val="24"/>
                <w:szCs w:val="24"/>
                <w:lang w:eastAsia="ru-RU"/>
              </w:rPr>
              <w:t>. Наиболее ранняя из дат:</w:t>
            </w:r>
          </w:p>
          <w:p w14:paraId="53192788" w14:textId="77777777" w:rsidR="00875873" w:rsidRPr="00BE536E" w:rsidRDefault="00875873" w:rsidP="00567222">
            <w:pPr>
              <w:autoSpaceDN w:val="0"/>
              <w:adjustRightInd w:val="0"/>
              <w:spacing w:after="0" w:line="240" w:lineRule="auto"/>
              <w:ind w:left="261"/>
              <w:jc w:val="both"/>
              <w:rPr>
                <w:bCs/>
                <w:color w:val="000000" w:themeColor="text1"/>
                <w:sz w:val="24"/>
                <w:szCs w:val="24"/>
                <w:lang w:eastAsia="ru-RU"/>
              </w:rPr>
            </w:pPr>
            <w:r w:rsidRPr="00BE536E">
              <w:rPr>
                <w:color w:val="000000" w:themeColor="text1"/>
                <w:sz w:val="24"/>
                <w:szCs w:val="24"/>
                <w:lang w:eastAsia="ru-RU"/>
              </w:rPr>
              <w:t>1. дата, указанная в акте приема - передачи, за исключением вновь созданных объектов недвижимости;</w:t>
            </w:r>
          </w:p>
          <w:p w14:paraId="070E7FBA" w14:textId="77777777" w:rsidR="00875873" w:rsidRPr="00BE536E" w:rsidRDefault="00875873" w:rsidP="00567222">
            <w:pPr>
              <w:autoSpaceDN w:val="0"/>
              <w:adjustRightInd w:val="0"/>
              <w:spacing w:after="0" w:line="240" w:lineRule="auto"/>
              <w:ind w:left="403"/>
              <w:jc w:val="both"/>
              <w:rPr>
                <w:color w:val="000000" w:themeColor="text1"/>
                <w:sz w:val="24"/>
                <w:szCs w:val="24"/>
                <w:lang w:eastAsia="ru-RU"/>
              </w:rPr>
            </w:pPr>
            <w:r w:rsidRPr="00BE536E">
              <w:rPr>
                <w:color w:val="000000" w:themeColor="text1"/>
                <w:sz w:val="24"/>
                <w:szCs w:val="24"/>
                <w:lang w:eastAsia="ru-RU"/>
              </w:rPr>
              <w:t>2. дата государственной регистрации права собственности владельцев инвестиционных паев ПИФ, подтвержденная   выпиской из ЕГРН.</w:t>
            </w:r>
          </w:p>
          <w:p w14:paraId="5246A496" w14:textId="77777777" w:rsidR="00875873" w:rsidRPr="00BE536E" w:rsidRDefault="00875873" w:rsidP="00567222">
            <w:pPr>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val="en-US" w:eastAsia="ru-RU"/>
              </w:rPr>
              <w:t>II</w:t>
            </w:r>
            <w:r w:rsidRPr="00BE536E">
              <w:rPr>
                <w:bCs/>
                <w:color w:val="000000" w:themeColor="text1"/>
                <w:sz w:val="24"/>
                <w:szCs w:val="24"/>
                <w:lang w:eastAsia="ru-RU"/>
              </w:rPr>
              <w:t xml:space="preserve">. для вновь созданных объектов - дата регистрации права собственности </w:t>
            </w:r>
            <w:r w:rsidRPr="00BE536E">
              <w:rPr>
                <w:color w:val="000000" w:themeColor="text1"/>
                <w:sz w:val="24"/>
                <w:szCs w:val="24"/>
                <w:lang w:eastAsia="ru-RU"/>
              </w:rPr>
              <w:t>владельцев инвестиционных паев ПИФ, подтвержденная   выпиской из ЕГРН</w:t>
            </w:r>
            <w:r w:rsidRPr="00BE536E">
              <w:rPr>
                <w:bCs/>
                <w:color w:val="000000" w:themeColor="text1"/>
                <w:sz w:val="24"/>
                <w:szCs w:val="24"/>
                <w:lang w:eastAsia="ru-RU"/>
              </w:rPr>
              <w:t>;</w:t>
            </w:r>
          </w:p>
          <w:p w14:paraId="7B24FA29" w14:textId="77777777" w:rsidR="009C22F7" w:rsidRPr="00BE536E" w:rsidRDefault="00875873" w:rsidP="00567222">
            <w:pPr>
              <w:keepNext/>
              <w:keepLines/>
              <w:spacing w:before="200" w:after="0" w:line="240" w:lineRule="auto"/>
              <w:jc w:val="both"/>
              <w:outlineLvl w:val="1"/>
              <w:rPr>
                <w:rFonts w:ascii="Verdana" w:hAnsi="Verdana"/>
                <w:sz w:val="20"/>
                <w:szCs w:val="20"/>
              </w:rPr>
            </w:pPr>
            <w:r w:rsidRPr="00BE536E">
              <w:rPr>
                <w:bCs/>
                <w:color w:val="000000" w:themeColor="text1"/>
                <w:sz w:val="24"/>
                <w:szCs w:val="24"/>
                <w:lang w:val="en-US" w:eastAsia="ru-RU"/>
              </w:rPr>
              <w:t>III</w:t>
            </w:r>
            <w:r w:rsidRPr="00BE536E">
              <w:rPr>
                <w:bCs/>
                <w:color w:val="000000" w:themeColor="text1"/>
                <w:sz w:val="24"/>
                <w:szCs w:val="24"/>
                <w:lang w:eastAsia="ru-RU"/>
              </w:rPr>
              <w:t xml:space="preserve">. в случае включения в состав имущества фонда недвижимого имущества при выдаче дополнительных инвестиционных паев - дата распорядительной записки. </w:t>
            </w:r>
          </w:p>
        </w:tc>
      </w:tr>
      <w:tr w:rsidR="009C22F7" w:rsidRPr="00BE536E" w14:paraId="67BC3B13" w14:textId="77777777" w:rsidTr="00C819D7">
        <w:trPr>
          <w:trHeight w:val="845"/>
        </w:trPr>
        <w:tc>
          <w:tcPr>
            <w:tcW w:w="1984" w:type="dxa"/>
            <w:shd w:val="clear" w:color="auto" w:fill="A6A6A6"/>
          </w:tcPr>
          <w:p w14:paraId="4B372A97"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1E69BD85" w14:textId="77777777" w:rsidR="00875873" w:rsidRPr="00BE536E" w:rsidRDefault="00875873" w:rsidP="00567222">
            <w:pPr>
              <w:autoSpaceDN w:val="0"/>
              <w:adjustRightInd w:val="0"/>
              <w:spacing w:after="0"/>
              <w:jc w:val="both"/>
              <w:rPr>
                <w:color w:val="000000" w:themeColor="text1"/>
                <w:sz w:val="24"/>
                <w:szCs w:val="24"/>
                <w:lang w:eastAsia="ru-RU"/>
              </w:rPr>
            </w:pPr>
            <w:r w:rsidRPr="00BE536E">
              <w:rPr>
                <w:color w:val="000000" w:themeColor="text1"/>
                <w:sz w:val="24"/>
                <w:szCs w:val="24"/>
                <w:lang w:eastAsia="ru-RU"/>
              </w:rPr>
              <w:t>Наиболее ранняя из дат:</w:t>
            </w:r>
          </w:p>
          <w:p w14:paraId="599868E9" w14:textId="77777777" w:rsidR="00875873" w:rsidRPr="00BE536E" w:rsidRDefault="00875873" w:rsidP="00567222">
            <w:pPr>
              <w:autoSpaceDN w:val="0"/>
              <w:adjustRightInd w:val="0"/>
              <w:spacing w:after="0"/>
              <w:ind w:left="403"/>
              <w:jc w:val="both"/>
              <w:rPr>
                <w:bCs/>
                <w:color w:val="000000" w:themeColor="text1"/>
                <w:sz w:val="24"/>
                <w:szCs w:val="24"/>
                <w:lang w:eastAsia="ru-RU"/>
              </w:rPr>
            </w:pPr>
            <w:r w:rsidRPr="00BE536E">
              <w:rPr>
                <w:color w:val="000000" w:themeColor="text1"/>
                <w:sz w:val="24"/>
                <w:szCs w:val="24"/>
                <w:lang w:eastAsia="ru-RU"/>
              </w:rPr>
              <w:t>1. дата, указанная в акте приема – передачи (за исключением прекращения паевого инвестиционного фонда);</w:t>
            </w:r>
          </w:p>
          <w:p w14:paraId="46FDAB6E" w14:textId="77777777" w:rsidR="00875873" w:rsidRPr="00BE536E" w:rsidRDefault="00875873" w:rsidP="00567222">
            <w:pPr>
              <w:autoSpaceDN w:val="0"/>
              <w:adjustRightInd w:val="0"/>
              <w:spacing w:after="0"/>
              <w:ind w:left="403"/>
              <w:jc w:val="both"/>
              <w:rPr>
                <w:bCs/>
                <w:color w:val="000000" w:themeColor="text1"/>
                <w:sz w:val="24"/>
                <w:szCs w:val="24"/>
                <w:lang w:eastAsia="ru-RU"/>
              </w:rPr>
            </w:pPr>
            <w:r w:rsidRPr="00BE536E">
              <w:rPr>
                <w:color w:val="000000" w:themeColor="text1"/>
                <w:sz w:val="24"/>
                <w:szCs w:val="24"/>
                <w:lang w:eastAsia="ru-RU"/>
              </w:rPr>
              <w:t>2.  дата государственной регистрации прекращения права собственности владельцев инвестиционных паев ПИФ, подтвержденная   выпиской из ЕГРН</w:t>
            </w:r>
            <w:r w:rsidRPr="00BE536E">
              <w:rPr>
                <w:bCs/>
                <w:color w:val="000000" w:themeColor="text1"/>
                <w:sz w:val="24"/>
                <w:szCs w:val="24"/>
                <w:lang w:eastAsia="ru-RU"/>
              </w:rPr>
              <w:t>.</w:t>
            </w:r>
          </w:p>
          <w:p w14:paraId="0CA66D50" w14:textId="77777777" w:rsidR="009C22F7" w:rsidRPr="00BE536E" w:rsidRDefault="00875873" w:rsidP="00567222">
            <w:pPr>
              <w:spacing w:after="0" w:line="240" w:lineRule="auto"/>
              <w:jc w:val="both"/>
              <w:rPr>
                <w:rFonts w:ascii="Verdana" w:eastAsia="Times New Roman" w:hAnsi="Verdana"/>
                <w:bCs/>
                <w:color w:val="000000"/>
                <w:sz w:val="20"/>
                <w:szCs w:val="20"/>
                <w:lang w:eastAsia="ru-RU"/>
              </w:rPr>
            </w:pPr>
            <w:r w:rsidRPr="00BE536E">
              <w:rPr>
                <w:color w:val="000000" w:themeColor="text1"/>
                <w:sz w:val="24"/>
                <w:szCs w:val="24"/>
                <w:lang w:val="en-US" w:eastAsia="ru-RU"/>
              </w:rPr>
              <w:t>II</w:t>
            </w:r>
            <w:r w:rsidRPr="00BE536E">
              <w:rPr>
                <w:color w:val="000000" w:themeColor="text1"/>
                <w:sz w:val="24"/>
                <w:szCs w:val="24"/>
                <w:lang w:eastAsia="ru-RU"/>
              </w:rPr>
              <w:t>. Дата вступления в силу судебного решения о возникновении/прекращении права собственности владельцев инвестиционных паёв ПИФ на недвижимое имущество.</w:t>
            </w:r>
          </w:p>
        </w:tc>
      </w:tr>
      <w:tr w:rsidR="009C22F7" w:rsidRPr="00BE536E" w14:paraId="79A08024" w14:textId="77777777" w:rsidTr="00C819D7">
        <w:tc>
          <w:tcPr>
            <w:tcW w:w="1984" w:type="dxa"/>
            <w:shd w:val="clear" w:color="auto" w:fill="A6A6A6"/>
          </w:tcPr>
          <w:p w14:paraId="3B333DC4"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37D55754"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 xml:space="preserve">Справедливая стоимость объекта недвижимости определяется оценщиком в сроки, соответствующие требованиям законодательства. </w:t>
            </w:r>
          </w:p>
          <w:p w14:paraId="0E84042A"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При оценке справедливой стоимости объекта недвижимости, находящегося в операционной аренде, по которой ПИФ является арендодателем, условия арендного договора должны быть отражены оценщиком в оценке объекта недвижимости, составляющего активы ПИФ. </w:t>
            </w:r>
            <w:r w:rsidRPr="00BE536E" w:rsidDel="001011D3">
              <w:rPr>
                <w:rFonts w:ascii="Verdana" w:hAnsi="Verdana"/>
                <w:sz w:val="20"/>
                <w:szCs w:val="20"/>
              </w:rPr>
              <w:t xml:space="preserve"> </w:t>
            </w:r>
          </w:p>
        </w:tc>
      </w:tr>
      <w:tr w:rsidR="009C22F7" w:rsidRPr="00BE536E" w14:paraId="6B862F9F" w14:textId="77777777" w:rsidTr="00C819D7">
        <w:trPr>
          <w:trHeight w:val="1515"/>
        </w:trPr>
        <w:tc>
          <w:tcPr>
            <w:tcW w:w="1984" w:type="dxa"/>
            <w:shd w:val="clear" w:color="auto" w:fill="A6A6A6"/>
          </w:tcPr>
          <w:p w14:paraId="1D60F0D2"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2B0378FD" w14:textId="77777777" w:rsidR="009C22F7" w:rsidRPr="00BE536E" w:rsidRDefault="009C22F7" w:rsidP="00C819D7">
            <w:pPr>
              <w:spacing w:after="0"/>
              <w:jc w:val="both"/>
              <w:rPr>
                <w:rFonts w:ascii="Verdana" w:hAnsi="Verdana"/>
                <w:bCs/>
                <w:sz w:val="20"/>
                <w:szCs w:val="20"/>
              </w:rPr>
            </w:pPr>
            <w:r w:rsidRPr="00BE536E">
              <w:rPr>
                <w:rFonts w:ascii="Verdana" w:hAnsi="Verdana"/>
                <w:bCs/>
                <w:sz w:val="20"/>
                <w:szCs w:val="20"/>
              </w:rPr>
              <w:t xml:space="preserve">Справедливая стоимость </w:t>
            </w:r>
            <w:r w:rsidRPr="00BE536E">
              <w:rPr>
                <w:rFonts w:ascii="Verdana" w:hAnsi="Verdana"/>
                <w:sz w:val="20"/>
                <w:szCs w:val="20"/>
              </w:rPr>
              <w:t>объекта недвижимости</w:t>
            </w:r>
            <w:r w:rsidRPr="00BE536E">
              <w:rPr>
                <w:rFonts w:ascii="Verdana" w:hAnsi="Verdana"/>
                <w:bCs/>
                <w:sz w:val="20"/>
                <w:szCs w:val="20"/>
              </w:rPr>
              <w:t xml:space="preserve"> признается равной 0 (Ноль):</w:t>
            </w:r>
          </w:p>
          <w:p w14:paraId="3F454D70" w14:textId="77777777" w:rsidR="009C22F7" w:rsidRPr="00BE536E" w:rsidRDefault="009C22F7" w:rsidP="00D05311">
            <w:pPr>
              <w:numPr>
                <w:ilvl w:val="0"/>
                <w:numId w:val="27"/>
              </w:numPr>
              <w:spacing w:after="0"/>
              <w:ind w:left="317" w:hanging="283"/>
              <w:jc w:val="both"/>
              <w:rPr>
                <w:rFonts w:ascii="Verdana" w:hAnsi="Verdana"/>
                <w:sz w:val="20"/>
                <w:szCs w:val="20"/>
              </w:rPr>
            </w:pPr>
            <w:r w:rsidRPr="00BE536E">
              <w:rPr>
                <w:rFonts w:ascii="Verdana" w:hAnsi="Verdana"/>
                <w:bCs/>
                <w:sz w:val="20"/>
                <w:szCs w:val="20"/>
              </w:rPr>
              <w:t>в случае события приводящего к признанию недвижимого имущества непригодным для дальнейшего использования по целевому назначению - с даты получения официального документа о таком факте;</w:t>
            </w:r>
          </w:p>
          <w:p w14:paraId="60B89F1F" w14:textId="77777777" w:rsidR="009C22F7" w:rsidRPr="00BE536E" w:rsidRDefault="009C22F7" w:rsidP="00D05311">
            <w:pPr>
              <w:numPr>
                <w:ilvl w:val="0"/>
                <w:numId w:val="27"/>
              </w:numPr>
              <w:spacing w:after="0"/>
              <w:ind w:left="317" w:hanging="283"/>
              <w:jc w:val="both"/>
              <w:rPr>
                <w:rFonts w:ascii="Verdana" w:hAnsi="Verdana"/>
                <w:bCs/>
                <w:sz w:val="20"/>
                <w:szCs w:val="20"/>
              </w:rPr>
            </w:pPr>
            <w:r w:rsidRPr="00BE536E">
              <w:rPr>
                <w:rFonts w:ascii="Verdana" w:hAnsi="Verdana"/>
                <w:bCs/>
                <w:sz w:val="20"/>
                <w:szCs w:val="20"/>
              </w:rPr>
              <w:t>в случае передачи по акту приема-передачи недвижимого имущества между сторонами по договору и не предоставлении в течение 6 (Шесть) месяцев с даты подписания такого акта приема-передачи выписки из ЕГРН, подтверждающей дату перехода права собственности на недвижимое имущество владельцам инвестиционных паев ПИФ.</w:t>
            </w:r>
          </w:p>
          <w:p w14:paraId="25BD5582" w14:textId="77777777" w:rsidR="009C22F7" w:rsidRPr="00BE536E" w:rsidRDefault="009C22F7" w:rsidP="00C819D7">
            <w:pPr>
              <w:spacing w:after="0"/>
              <w:ind w:left="795"/>
              <w:jc w:val="both"/>
              <w:rPr>
                <w:rFonts w:ascii="Verdana" w:hAnsi="Verdana"/>
                <w:sz w:val="20"/>
                <w:szCs w:val="20"/>
              </w:rPr>
            </w:pPr>
          </w:p>
        </w:tc>
      </w:tr>
    </w:tbl>
    <w:p w14:paraId="15DDC6F9" w14:textId="77777777" w:rsidR="009C22F7" w:rsidRPr="00BE536E" w:rsidRDefault="009C22F7" w:rsidP="009C22F7">
      <w:pPr>
        <w:spacing w:after="0"/>
        <w:ind w:left="6096"/>
        <w:jc w:val="both"/>
        <w:rPr>
          <w:rFonts w:ascii="Verdana" w:hAnsi="Verdana" w:cs="Arial"/>
          <w:b/>
          <w:sz w:val="20"/>
          <w:szCs w:val="20"/>
        </w:rPr>
      </w:pPr>
    </w:p>
    <w:p w14:paraId="7826FA9F" w14:textId="77777777" w:rsidR="009C22F7" w:rsidRPr="00BE536E" w:rsidRDefault="009C22F7" w:rsidP="009C22F7">
      <w:pPr>
        <w:spacing w:after="0"/>
        <w:ind w:left="6096"/>
        <w:jc w:val="both"/>
        <w:rPr>
          <w:rFonts w:ascii="Verdana" w:hAnsi="Verdana"/>
          <w:color w:val="000000"/>
          <w:sz w:val="20"/>
          <w:szCs w:val="20"/>
        </w:rPr>
      </w:pPr>
    </w:p>
    <w:p w14:paraId="0A69A07F" w14:textId="784F60F4"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bookmarkStart w:id="28" w:name="_Приложение_22._Права"/>
      <w:bookmarkEnd w:id="28"/>
      <w:r w:rsidRPr="00BE536E">
        <w:rPr>
          <w:rFonts w:ascii="Verdana" w:hAnsi="Verdana" w:cs="Arial"/>
          <w:b w:val="0"/>
          <w:bCs w:val="0"/>
          <w:iCs w:val="0"/>
          <w:caps/>
          <w:smallCaps w:val="0"/>
          <w:color w:val="943634"/>
          <w:sz w:val="24"/>
        </w:rPr>
        <w:lastRenderedPageBreak/>
        <w:t>Приложение 2</w:t>
      </w:r>
      <w:r w:rsidR="00B831EB" w:rsidRPr="00BE536E">
        <w:rPr>
          <w:rFonts w:ascii="Verdana" w:hAnsi="Verdana" w:cs="Arial"/>
          <w:b w:val="0"/>
          <w:bCs w:val="0"/>
          <w:iCs w:val="0"/>
          <w:caps/>
          <w:smallCaps w:val="0"/>
          <w:color w:val="943634"/>
          <w:sz w:val="24"/>
        </w:rPr>
        <w:t>0</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Права аренды на недвижимое имущество (полученные)</w:t>
      </w:r>
    </w:p>
    <w:tbl>
      <w:tblPr>
        <w:tblW w:w="9781" w:type="dxa"/>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843"/>
        <w:gridCol w:w="7938"/>
      </w:tblGrid>
      <w:tr w:rsidR="009C22F7" w:rsidRPr="00BE536E" w14:paraId="5E456667" w14:textId="77777777" w:rsidTr="00C819D7">
        <w:trPr>
          <w:trHeight w:val="363"/>
        </w:trPr>
        <w:tc>
          <w:tcPr>
            <w:tcW w:w="1843" w:type="dxa"/>
            <w:shd w:val="clear" w:color="auto" w:fill="A6A6A6"/>
          </w:tcPr>
          <w:p w14:paraId="113EEFFF"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938" w:type="dxa"/>
          </w:tcPr>
          <w:p w14:paraId="3689C488"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Права аренды на недвижимое имущество (полученные)</w:t>
            </w:r>
          </w:p>
        </w:tc>
      </w:tr>
      <w:tr w:rsidR="009C22F7" w:rsidRPr="00BE536E" w14:paraId="5E055F5E" w14:textId="77777777" w:rsidTr="00C819D7">
        <w:trPr>
          <w:trHeight w:val="595"/>
        </w:trPr>
        <w:tc>
          <w:tcPr>
            <w:tcW w:w="1843" w:type="dxa"/>
            <w:shd w:val="clear" w:color="auto" w:fill="A6A6A6"/>
          </w:tcPr>
          <w:p w14:paraId="277664D2"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938" w:type="dxa"/>
          </w:tcPr>
          <w:p w14:paraId="0406993F" w14:textId="77777777" w:rsidR="009C22F7" w:rsidRPr="00BE536E" w:rsidRDefault="009C22F7" w:rsidP="00567222">
            <w:pPr>
              <w:keepNext/>
              <w:keepLines/>
              <w:numPr>
                <w:ilvl w:val="0"/>
                <w:numId w:val="7"/>
              </w:numPr>
              <w:spacing w:before="200"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 даты передачи объекта недвижимости в аренду по акту приема-передачи; </w:t>
            </w:r>
          </w:p>
          <w:p w14:paraId="0C31A7E8" w14:textId="77777777" w:rsidR="009C22F7" w:rsidRPr="00BE536E" w:rsidRDefault="009C22F7" w:rsidP="00567222">
            <w:pPr>
              <w:keepNext/>
              <w:keepLines/>
              <w:numPr>
                <w:ilvl w:val="0"/>
                <w:numId w:val="7"/>
              </w:numPr>
              <w:spacing w:before="200"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С даты уступки права аренды объекта недвижимого имущества.</w:t>
            </w:r>
          </w:p>
          <w:p w14:paraId="68033496" w14:textId="77777777" w:rsidR="009C22F7" w:rsidRPr="00BE536E" w:rsidRDefault="009C22F7" w:rsidP="00C819D7">
            <w:pPr>
              <w:keepNext/>
              <w:keepLines/>
              <w:spacing w:before="200" w:after="0" w:line="240" w:lineRule="auto"/>
              <w:ind w:left="318"/>
              <w:jc w:val="both"/>
              <w:rPr>
                <w:rFonts w:ascii="Verdana" w:hAnsi="Verdana"/>
                <w:sz w:val="20"/>
                <w:szCs w:val="20"/>
              </w:rPr>
            </w:pPr>
          </w:p>
        </w:tc>
      </w:tr>
      <w:tr w:rsidR="009C22F7" w:rsidRPr="00BE536E" w14:paraId="157EA905" w14:textId="77777777" w:rsidTr="00C819D7">
        <w:trPr>
          <w:trHeight w:val="845"/>
        </w:trPr>
        <w:tc>
          <w:tcPr>
            <w:tcW w:w="1843" w:type="dxa"/>
            <w:shd w:val="clear" w:color="auto" w:fill="A6A6A6"/>
          </w:tcPr>
          <w:p w14:paraId="0F28832D"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938" w:type="dxa"/>
          </w:tcPr>
          <w:p w14:paraId="203D09A6" w14:textId="77777777" w:rsidR="009C22F7" w:rsidRPr="00BE536E" w:rsidRDefault="009C22F7" w:rsidP="00567222">
            <w:pPr>
              <w:keepNext/>
              <w:keepLines/>
              <w:numPr>
                <w:ilvl w:val="0"/>
                <w:numId w:val="7"/>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факту подписания акта возврата имущества арендодателю;</w:t>
            </w:r>
          </w:p>
          <w:p w14:paraId="60A7F6E6" w14:textId="77777777" w:rsidR="009C22F7" w:rsidRPr="00BE536E" w:rsidRDefault="009C22F7" w:rsidP="00567222">
            <w:pPr>
              <w:keepNext/>
              <w:keepLines/>
              <w:numPr>
                <w:ilvl w:val="0"/>
                <w:numId w:val="7"/>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Передача ПИФ прав и обязательств по договору третьему лицу;</w:t>
            </w:r>
          </w:p>
          <w:p w14:paraId="26B7CE57" w14:textId="77777777" w:rsidR="009C22F7" w:rsidRPr="00BE536E" w:rsidRDefault="009C22F7" w:rsidP="00567222">
            <w:pPr>
              <w:numPr>
                <w:ilvl w:val="0"/>
                <w:numId w:val="7"/>
              </w:numPr>
              <w:spacing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Прочего прекращения прав и обязательств по договору в соответствии с законодательством или договором.</w:t>
            </w:r>
          </w:p>
          <w:p w14:paraId="7473B1F3" w14:textId="77777777" w:rsidR="009C22F7" w:rsidRPr="00BE536E" w:rsidRDefault="009C22F7" w:rsidP="00C819D7">
            <w:pPr>
              <w:spacing w:after="0" w:line="240" w:lineRule="auto"/>
              <w:ind w:left="312"/>
              <w:jc w:val="both"/>
              <w:rPr>
                <w:rFonts w:ascii="Verdana" w:eastAsia="Times New Roman" w:hAnsi="Verdana"/>
                <w:bCs/>
                <w:color w:val="000000"/>
                <w:sz w:val="20"/>
                <w:szCs w:val="20"/>
                <w:lang w:eastAsia="ru-RU"/>
              </w:rPr>
            </w:pPr>
          </w:p>
        </w:tc>
      </w:tr>
      <w:tr w:rsidR="009C22F7" w:rsidRPr="00BE536E" w14:paraId="146F03C9" w14:textId="77777777" w:rsidTr="00C819D7">
        <w:tc>
          <w:tcPr>
            <w:tcW w:w="1843" w:type="dxa"/>
            <w:shd w:val="clear" w:color="auto" w:fill="A6A6A6"/>
          </w:tcPr>
          <w:p w14:paraId="3726F477"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938" w:type="dxa"/>
          </w:tcPr>
          <w:p w14:paraId="6C7D564A" w14:textId="77777777" w:rsidR="009C22F7" w:rsidRPr="00BE536E" w:rsidRDefault="009C22F7" w:rsidP="00C819D7">
            <w:pPr>
              <w:spacing w:after="0" w:line="240" w:lineRule="auto"/>
              <w:ind w:left="34"/>
              <w:jc w:val="both"/>
              <w:rPr>
                <w:rFonts w:ascii="Verdana" w:hAnsi="Verdana"/>
                <w:sz w:val="20"/>
                <w:szCs w:val="20"/>
              </w:rPr>
            </w:pPr>
          </w:p>
          <w:p w14:paraId="1F6445A7"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 xml:space="preserve">Справедливая стоимость прав по договору аренды, арендатором по которому является ПИФ, равна </w:t>
            </w:r>
            <w:r w:rsidRPr="00BE536E">
              <w:rPr>
                <w:rFonts w:ascii="Verdana" w:hAnsi="Verdana"/>
                <w:b/>
                <w:sz w:val="20"/>
                <w:szCs w:val="20"/>
              </w:rPr>
              <w:t>0 (ноль)</w:t>
            </w:r>
            <w:r w:rsidRPr="00BE536E">
              <w:rPr>
                <w:rFonts w:ascii="Verdana" w:hAnsi="Verdana"/>
                <w:sz w:val="20"/>
                <w:szCs w:val="20"/>
              </w:rPr>
              <w:t xml:space="preserve">, если срок договора аренды не превышает 1 (Один) год (при этом пролонгации срока действия договора аренды не происходит) </w:t>
            </w:r>
            <w:r w:rsidRPr="00BE536E">
              <w:rPr>
                <w:rFonts w:ascii="Verdana" w:hAnsi="Verdana"/>
                <w:b/>
                <w:sz w:val="20"/>
                <w:szCs w:val="20"/>
              </w:rPr>
              <w:t>(краткосрочная аренда)</w:t>
            </w:r>
            <w:r w:rsidRPr="00BE536E">
              <w:rPr>
                <w:rFonts w:ascii="Verdana" w:hAnsi="Verdana"/>
                <w:sz w:val="20"/>
                <w:szCs w:val="20"/>
              </w:rPr>
              <w:t xml:space="preserve">. </w:t>
            </w:r>
          </w:p>
          <w:p w14:paraId="64D0D961"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ab/>
            </w:r>
          </w:p>
          <w:p w14:paraId="3B30438B"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w:t>
            </w:r>
          </w:p>
          <w:p w14:paraId="459BF527" w14:textId="77777777" w:rsidR="009C22F7" w:rsidRPr="00BE536E" w:rsidRDefault="009C22F7" w:rsidP="00C819D7">
            <w:pPr>
              <w:spacing w:after="0" w:line="240" w:lineRule="auto"/>
              <w:ind w:left="34"/>
              <w:jc w:val="both"/>
              <w:rPr>
                <w:rFonts w:ascii="Verdana" w:hAnsi="Verdana"/>
                <w:sz w:val="20"/>
                <w:szCs w:val="20"/>
              </w:rPr>
            </w:pPr>
          </w:p>
          <w:p w14:paraId="0B18A1DA"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b/>
                <w:sz w:val="20"/>
                <w:szCs w:val="20"/>
              </w:rPr>
              <w:t>Для долгосрочной аренды</w:t>
            </w:r>
            <w:r w:rsidRPr="00BE536E">
              <w:rPr>
                <w:rFonts w:ascii="Verdana" w:hAnsi="Verdana"/>
                <w:sz w:val="20"/>
                <w:szCs w:val="20"/>
              </w:rPr>
              <w:t xml:space="preserve"> справедливая стоимость прав по договору аренды, арендатором по которому является ПИФ, определяется на основании </w:t>
            </w:r>
            <w:r w:rsidRPr="00BE536E">
              <w:rPr>
                <w:rFonts w:ascii="Verdana" w:hAnsi="Verdana"/>
                <w:b/>
                <w:sz w:val="20"/>
                <w:szCs w:val="20"/>
              </w:rPr>
              <w:t>отчета оценщика</w:t>
            </w:r>
            <w:r w:rsidRPr="00BE536E">
              <w:rPr>
                <w:rFonts w:ascii="Verdana" w:hAnsi="Verdana"/>
                <w:sz w:val="20"/>
                <w:szCs w:val="20"/>
              </w:rPr>
              <w:t>. Оценка производится оценщиком в сроки, соответствующие требованиям, установленным настоящими Правилами определения СЧА и действующим законодательством РФ.</w:t>
            </w:r>
          </w:p>
          <w:p w14:paraId="4B05E304" w14:textId="77777777" w:rsidR="009C22F7" w:rsidRPr="00BE536E" w:rsidRDefault="009C22F7" w:rsidP="00C819D7">
            <w:pPr>
              <w:spacing w:after="0" w:line="240" w:lineRule="auto"/>
              <w:ind w:left="34"/>
              <w:jc w:val="both"/>
              <w:rPr>
                <w:rFonts w:ascii="Verdana" w:hAnsi="Verdana"/>
                <w:sz w:val="20"/>
                <w:szCs w:val="20"/>
              </w:rPr>
            </w:pPr>
          </w:p>
          <w:p w14:paraId="3BE2DA7C" w14:textId="77777777" w:rsidR="009C22F7" w:rsidRPr="00BE536E" w:rsidRDefault="009C22F7" w:rsidP="00C819D7">
            <w:pPr>
              <w:spacing w:after="0" w:line="240" w:lineRule="auto"/>
              <w:ind w:left="34"/>
              <w:jc w:val="both"/>
              <w:rPr>
                <w:rFonts w:ascii="Verdana" w:hAnsi="Verdana"/>
                <w:b/>
                <w:sz w:val="20"/>
                <w:szCs w:val="20"/>
              </w:rPr>
            </w:pPr>
            <w:r w:rsidRPr="00BE536E">
              <w:rPr>
                <w:rFonts w:ascii="Verdana" w:hAnsi="Verdana"/>
                <w:b/>
                <w:sz w:val="20"/>
                <w:szCs w:val="20"/>
              </w:rPr>
              <w:t xml:space="preserve">Справедливая стоимость кредиторской задолженности по договорам аренды, сроком до 1 (Одного) года (краткосрочная аренда)  определяется: </w:t>
            </w:r>
          </w:p>
          <w:p w14:paraId="08E48C36"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 на каждую дату определения СЧА, в размере обязательств по договору на указанную дату. В случае, если обязательства по договору не могут быть надежно определены на такую дату, то  применяются методы аппроксимации.</w:t>
            </w:r>
          </w:p>
          <w:p w14:paraId="42E399D5" w14:textId="77777777" w:rsidR="009C22F7" w:rsidRPr="00BE536E" w:rsidRDefault="009C22F7" w:rsidP="00C819D7">
            <w:pPr>
              <w:spacing w:after="0" w:line="240" w:lineRule="auto"/>
              <w:ind w:left="34"/>
              <w:jc w:val="both"/>
              <w:rPr>
                <w:rFonts w:ascii="Verdana" w:hAnsi="Verdana"/>
                <w:sz w:val="20"/>
                <w:szCs w:val="20"/>
              </w:rPr>
            </w:pPr>
          </w:p>
          <w:p w14:paraId="30914C48"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b/>
                <w:sz w:val="20"/>
                <w:szCs w:val="20"/>
              </w:rPr>
              <w:t>Справедливая стоимость кредиторской задолженности по договорам аренды, заключенной на срок более 1 (Одного) года</w:t>
            </w:r>
            <w:r w:rsidRPr="00BE536E">
              <w:rPr>
                <w:rFonts w:ascii="Verdana" w:hAnsi="Verdana"/>
                <w:sz w:val="20"/>
                <w:szCs w:val="20"/>
              </w:rPr>
              <w:t xml:space="preserve"> </w:t>
            </w:r>
            <w:r w:rsidRPr="00BE536E">
              <w:rPr>
                <w:rFonts w:ascii="Verdana" w:hAnsi="Verdana"/>
                <w:b/>
                <w:sz w:val="20"/>
                <w:szCs w:val="20"/>
              </w:rPr>
              <w:t>(долгосрочная аренда)</w:t>
            </w:r>
            <w:r w:rsidRPr="00BE536E">
              <w:rPr>
                <w:rFonts w:ascii="Verdana" w:hAnsi="Verdana"/>
                <w:sz w:val="20"/>
                <w:szCs w:val="20"/>
              </w:rPr>
              <w:t xml:space="preserve"> определяется по приведенной к дате оценки сумме арендных платежей на весь срок действия договора аренды в соответствии с </w:t>
            </w:r>
            <w:hyperlink w:anchor="_Приложение_5._Метод" w:history="1">
              <w:r w:rsidR="00274EE4" w:rsidRPr="00BE536E">
                <w:rPr>
                  <w:rStyle w:val="a5"/>
                  <w:rFonts w:ascii="Verdana" w:hAnsi="Verdana"/>
                  <w:sz w:val="20"/>
                  <w:szCs w:val="20"/>
                </w:rPr>
                <w:t>Приложением 4</w:t>
              </w:r>
            </w:hyperlink>
            <w:r w:rsidRPr="00BE536E">
              <w:rPr>
                <w:rFonts w:ascii="Verdana" w:hAnsi="Verdana"/>
                <w:sz w:val="20"/>
                <w:szCs w:val="20"/>
              </w:rPr>
              <w:t>. При этом такой срок не должен превышать срок действия Правил доверительного управления ПИФ.</w:t>
            </w:r>
          </w:p>
          <w:p w14:paraId="51284012"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w:t>
            </w:r>
          </w:p>
          <w:p w14:paraId="102ECB2F" w14:textId="77777777" w:rsidR="00593C10" w:rsidRPr="00BE536E" w:rsidRDefault="00593C10" w:rsidP="00C819D7">
            <w:pPr>
              <w:spacing w:after="0" w:line="240" w:lineRule="auto"/>
              <w:ind w:left="34"/>
              <w:jc w:val="both"/>
              <w:rPr>
                <w:rFonts w:ascii="Verdana" w:hAnsi="Verdana"/>
                <w:sz w:val="20"/>
                <w:szCs w:val="20"/>
              </w:rPr>
            </w:pPr>
            <w:r w:rsidRPr="00BE536E">
              <w:rPr>
                <w:rFonts w:ascii="Verdana" w:hAnsi="Verdana"/>
                <w:sz w:val="20"/>
                <w:szCs w:val="20"/>
              </w:rPr>
              <w:lastRenderedPageBreak/>
              <w:t>Обеспечительный платёж, оплаченный по договору как краткосрочной, так и долгосрочной аренды, признаётся в составе дебиторской задолженности, которая в случае возникновения оснований для обесценения корректируется в соответствии с Приложением 5</w:t>
            </w:r>
          </w:p>
          <w:p w14:paraId="6E3578FA" w14:textId="77777777" w:rsidR="009C22F7" w:rsidRPr="00BE536E" w:rsidRDefault="009C22F7" w:rsidP="00C819D7">
            <w:pPr>
              <w:spacing w:after="0" w:line="240" w:lineRule="auto"/>
              <w:ind w:left="34"/>
              <w:jc w:val="both"/>
              <w:rPr>
                <w:rFonts w:ascii="Verdana" w:hAnsi="Verdana"/>
                <w:sz w:val="24"/>
                <w:szCs w:val="24"/>
              </w:rPr>
            </w:pPr>
          </w:p>
        </w:tc>
      </w:tr>
    </w:tbl>
    <w:p w14:paraId="01F0FE54"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15599ADC" w14:textId="77777777" w:rsidR="00305ACB" w:rsidRPr="00BE536E" w:rsidRDefault="00305ACB" w:rsidP="00305ACB">
      <w:pPr>
        <w:rPr>
          <w:lang w:eastAsia="ru-RU"/>
        </w:rPr>
      </w:pPr>
    </w:p>
    <w:p w14:paraId="2996A232"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12D93275" w14:textId="77777777" w:rsidR="00305ACB" w:rsidRPr="00BE536E" w:rsidRDefault="00305ACB" w:rsidP="00305ACB">
      <w:pPr>
        <w:rPr>
          <w:lang w:eastAsia="ru-RU"/>
        </w:rPr>
      </w:pPr>
    </w:p>
    <w:p w14:paraId="31716143" w14:textId="77777777" w:rsidR="00305ACB" w:rsidRPr="00BE536E" w:rsidRDefault="00305ACB" w:rsidP="00305ACB">
      <w:pPr>
        <w:rPr>
          <w:lang w:eastAsia="ru-RU"/>
        </w:rPr>
      </w:pPr>
    </w:p>
    <w:p w14:paraId="65AD0800" w14:textId="77777777" w:rsidR="00305ACB" w:rsidRPr="00BE536E" w:rsidRDefault="00305ACB" w:rsidP="00305ACB">
      <w:pPr>
        <w:rPr>
          <w:lang w:eastAsia="ru-RU"/>
        </w:rPr>
      </w:pPr>
    </w:p>
    <w:p w14:paraId="3A18DED6"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672994BA" w14:textId="77777777" w:rsidR="00305ACB" w:rsidRPr="00BE536E" w:rsidRDefault="00305ACB" w:rsidP="00305ACB">
      <w:pPr>
        <w:rPr>
          <w:lang w:eastAsia="ru-RU"/>
        </w:rPr>
      </w:pPr>
    </w:p>
    <w:p w14:paraId="413B8D5F" w14:textId="77777777" w:rsidR="00305ACB" w:rsidRPr="00BE536E" w:rsidRDefault="00305ACB" w:rsidP="00305ACB">
      <w:pPr>
        <w:rPr>
          <w:lang w:eastAsia="ru-RU"/>
        </w:rPr>
      </w:pPr>
    </w:p>
    <w:p w14:paraId="24AB3B46"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580DA406" w14:textId="77777777" w:rsidR="00305ACB" w:rsidRPr="00BE536E" w:rsidRDefault="00305ACB" w:rsidP="00305ACB">
      <w:pPr>
        <w:rPr>
          <w:lang w:eastAsia="ru-RU"/>
        </w:rPr>
      </w:pPr>
    </w:p>
    <w:p w14:paraId="1E5A71D8" w14:textId="77777777" w:rsidR="00305ACB" w:rsidRPr="00BE536E" w:rsidRDefault="00305ACB" w:rsidP="00305ACB">
      <w:pPr>
        <w:rPr>
          <w:lang w:eastAsia="ru-RU"/>
        </w:rPr>
      </w:pPr>
    </w:p>
    <w:p w14:paraId="0ECE2205" w14:textId="77777777" w:rsidR="00305ACB" w:rsidRPr="00BE536E" w:rsidRDefault="00305ACB" w:rsidP="00305ACB">
      <w:pPr>
        <w:rPr>
          <w:lang w:eastAsia="ru-RU"/>
        </w:rPr>
      </w:pPr>
    </w:p>
    <w:p w14:paraId="14FBD649" w14:textId="77777777" w:rsidR="00305ACB" w:rsidRPr="00BE536E" w:rsidRDefault="00305ACB" w:rsidP="00305ACB">
      <w:pPr>
        <w:rPr>
          <w:lang w:eastAsia="ru-RU"/>
        </w:rPr>
      </w:pPr>
    </w:p>
    <w:p w14:paraId="1C587867" w14:textId="77777777" w:rsidR="00305ACB" w:rsidRPr="00BE536E" w:rsidRDefault="00305ACB" w:rsidP="00305ACB">
      <w:pPr>
        <w:rPr>
          <w:lang w:eastAsia="ru-RU"/>
        </w:rPr>
      </w:pPr>
    </w:p>
    <w:p w14:paraId="090FBEA5" w14:textId="77777777" w:rsidR="00305ACB" w:rsidRPr="00BE536E" w:rsidRDefault="00305ACB" w:rsidP="00305ACB">
      <w:pPr>
        <w:rPr>
          <w:lang w:eastAsia="ru-RU"/>
        </w:rPr>
      </w:pPr>
    </w:p>
    <w:p w14:paraId="3C116E66" w14:textId="77777777" w:rsidR="00305ACB" w:rsidRPr="00BE536E" w:rsidRDefault="00305ACB" w:rsidP="00305ACB">
      <w:pPr>
        <w:rPr>
          <w:lang w:eastAsia="ru-RU"/>
        </w:rPr>
      </w:pPr>
    </w:p>
    <w:p w14:paraId="03C50A36" w14:textId="77777777" w:rsidR="00305ACB" w:rsidRPr="00BE536E" w:rsidRDefault="00305ACB" w:rsidP="00305ACB">
      <w:pPr>
        <w:rPr>
          <w:lang w:eastAsia="ru-RU"/>
        </w:rPr>
      </w:pPr>
    </w:p>
    <w:p w14:paraId="39257436" w14:textId="77777777" w:rsidR="00305ACB" w:rsidRPr="00BE536E" w:rsidRDefault="00305ACB" w:rsidP="00305ACB">
      <w:pPr>
        <w:rPr>
          <w:lang w:eastAsia="ru-RU"/>
        </w:rPr>
      </w:pPr>
    </w:p>
    <w:p w14:paraId="6CE8171A" w14:textId="77777777" w:rsidR="00305ACB" w:rsidRPr="00BE536E" w:rsidRDefault="00305ACB" w:rsidP="00305ACB">
      <w:pPr>
        <w:rPr>
          <w:lang w:eastAsia="ru-RU"/>
        </w:rPr>
      </w:pPr>
    </w:p>
    <w:p w14:paraId="1ECB3855" w14:textId="77777777" w:rsidR="00305ACB" w:rsidRPr="00BE536E" w:rsidRDefault="00305ACB" w:rsidP="00305ACB">
      <w:pPr>
        <w:rPr>
          <w:lang w:eastAsia="ru-RU"/>
        </w:rPr>
      </w:pPr>
    </w:p>
    <w:p w14:paraId="753CE054" w14:textId="1847630F"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951A90"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1</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Договор</w:t>
      </w:r>
      <w:r w:rsidRPr="00BE536E" w:rsidDel="00385390">
        <w:rPr>
          <w:rFonts w:ascii="Verdana" w:hAnsi="Verdana" w:cs="Arial"/>
          <w:bCs w:val="0"/>
          <w:iCs w:val="0"/>
          <w:caps/>
          <w:smallCaps w:val="0"/>
          <w:color w:val="943634"/>
          <w:sz w:val="24"/>
        </w:rPr>
        <w:t xml:space="preserve"> </w:t>
      </w:r>
      <w:r w:rsidRPr="00BE536E">
        <w:rPr>
          <w:rFonts w:ascii="Verdana" w:hAnsi="Verdana" w:cs="Arial"/>
          <w:bCs w:val="0"/>
          <w:iCs w:val="0"/>
          <w:caps/>
          <w:smallCaps w:val="0"/>
          <w:color w:val="943634"/>
          <w:sz w:val="24"/>
        </w:rPr>
        <w:t>участия в долевом строительстве объектов недвижимого имущества и инвестиционный договор</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BE536E" w14:paraId="320A87DA" w14:textId="77777777" w:rsidTr="00C819D7">
        <w:trPr>
          <w:trHeight w:val="363"/>
        </w:trPr>
        <w:tc>
          <w:tcPr>
            <w:tcW w:w="2268" w:type="dxa"/>
            <w:shd w:val="clear" w:color="auto" w:fill="A6A6A6"/>
          </w:tcPr>
          <w:p w14:paraId="3B76F359"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5D62687C" w14:textId="77777777" w:rsidR="009C22F7" w:rsidRPr="00BE536E" w:rsidRDefault="009C22F7" w:rsidP="00567222">
            <w:pPr>
              <w:numPr>
                <w:ilvl w:val="0"/>
                <w:numId w:val="20"/>
              </w:numPr>
              <w:spacing w:after="0" w:line="240" w:lineRule="auto"/>
              <w:ind w:left="318"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Имущественные права из договоров участия в долевом строительстве (далее - </w:t>
            </w:r>
            <w:r w:rsidRPr="00BE536E">
              <w:rPr>
                <w:rFonts w:ascii="Verdana" w:hAnsi="Verdana"/>
                <w:sz w:val="20"/>
                <w:szCs w:val="20"/>
              </w:rPr>
              <w:t>договор</w:t>
            </w:r>
            <w:r w:rsidRPr="00BE536E" w:rsidDel="00385390">
              <w:rPr>
                <w:rFonts w:ascii="Verdana" w:hAnsi="Verdana"/>
                <w:sz w:val="20"/>
                <w:szCs w:val="20"/>
              </w:rPr>
              <w:t xml:space="preserve"> </w:t>
            </w:r>
            <w:r w:rsidRPr="00BE536E">
              <w:rPr>
                <w:rFonts w:ascii="Verdana" w:hAnsi="Verdana"/>
                <w:sz w:val="20"/>
                <w:szCs w:val="20"/>
              </w:rPr>
              <w:t>участия в долевом строительстве объектов недвижимого имущества);</w:t>
            </w:r>
            <w:r w:rsidRPr="00BE536E">
              <w:rPr>
                <w:rFonts w:ascii="Verdana" w:eastAsia="Times New Roman" w:hAnsi="Verdana"/>
                <w:bCs/>
                <w:sz w:val="20"/>
                <w:szCs w:val="20"/>
                <w:lang w:eastAsia="ru-RU"/>
              </w:rPr>
              <w:t xml:space="preserve"> </w:t>
            </w:r>
          </w:p>
          <w:p w14:paraId="234F3E02" w14:textId="77777777" w:rsidR="009C22F7" w:rsidRPr="00BE536E" w:rsidRDefault="009C22F7" w:rsidP="00567222">
            <w:pPr>
              <w:numPr>
                <w:ilvl w:val="0"/>
                <w:numId w:val="20"/>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sz w:val="20"/>
                <w:szCs w:val="20"/>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 (далее – инвестиционный договор).</w:t>
            </w:r>
          </w:p>
        </w:tc>
      </w:tr>
      <w:tr w:rsidR="009C22F7" w:rsidRPr="00BE536E" w14:paraId="093D4D46" w14:textId="77777777" w:rsidTr="00C819D7">
        <w:trPr>
          <w:trHeight w:val="595"/>
        </w:trPr>
        <w:tc>
          <w:tcPr>
            <w:tcW w:w="2268" w:type="dxa"/>
            <w:shd w:val="clear" w:color="auto" w:fill="A6A6A6"/>
          </w:tcPr>
          <w:p w14:paraId="590A87B7"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0405694D" w14:textId="77777777" w:rsidR="009C22F7" w:rsidRPr="00BE536E" w:rsidRDefault="009C22F7" w:rsidP="00567222">
            <w:pPr>
              <w:numPr>
                <w:ilvl w:val="0"/>
                <w:numId w:val="21"/>
              </w:numPr>
              <w:spacing w:after="0" w:line="240" w:lineRule="auto"/>
              <w:ind w:left="318" w:hanging="284"/>
              <w:jc w:val="both"/>
              <w:rPr>
                <w:rFonts w:ascii="Verdana" w:eastAsia="Times New Roman" w:hAnsi="Verdana"/>
                <w:bCs/>
                <w:sz w:val="20"/>
                <w:szCs w:val="20"/>
                <w:lang w:eastAsia="ru-RU"/>
              </w:rPr>
            </w:pPr>
            <w:r w:rsidRPr="00BE536E">
              <w:rPr>
                <w:rFonts w:ascii="Verdana" w:eastAsia="Times New Roman" w:hAnsi="Verdana"/>
                <w:b/>
                <w:bCs/>
                <w:sz w:val="20"/>
                <w:szCs w:val="20"/>
                <w:lang w:eastAsia="ru-RU"/>
              </w:rPr>
              <w:t>Для д</w:t>
            </w:r>
            <w:r w:rsidRPr="00BE536E">
              <w:rPr>
                <w:rFonts w:ascii="Verdana" w:hAnsi="Verdana"/>
                <w:b/>
                <w:sz w:val="20"/>
                <w:szCs w:val="20"/>
              </w:rPr>
              <w:t>оговора</w:t>
            </w:r>
            <w:r w:rsidRPr="00BE536E" w:rsidDel="00385390">
              <w:rPr>
                <w:rFonts w:ascii="Verdana" w:hAnsi="Verdana"/>
                <w:b/>
                <w:sz w:val="20"/>
                <w:szCs w:val="20"/>
              </w:rPr>
              <w:t xml:space="preserve"> </w:t>
            </w:r>
            <w:r w:rsidRPr="00BE536E">
              <w:rPr>
                <w:rFonts w:ascii="Verdana" w:hAnsi="Verdana"/>
                <w:b/>
                <w:sz w:val="20"/>
                <w:szCs w:val="20"/>
              </w:rPr>
              <w:t>участия в долевом строительстве объектов недвижимого имущества</w:t>
            </w:r>
            <w:r w:rsidRPr="00BE536E">
              <w:rPr>
                <w:rFonts w:ascii="Verdana" w:eastAsia="Times New Roman" w:hAnsi="Verdana"/>
                <w:bCs/>
                <w:sz w:val="20"/>
                <w:szCs w:val="20"/>
                <w:lang w:eastAsia="ru-RU"/>
              </w:rPr>
              <w:t xml:space="preserve"> - по дате, предусмотренной в договоре  участия в долевом строительстве объекта недвижимого имущества  ПИФ, как участника долевого строительства; </w:t>
            </w:r>
          </w:p>
          <w:p w14:paraId="5EA55F13" w14:textId="77777777" w:rsidR="009C22F7" w:rsidRPr="00BE536E" w:rsidRDefault="009C22F7" w:rsidP="00567222">
            <w:pPr>
              <w:numPr>
                <w:ilvl w:val="0"/>
                <w:numId w:val="21"/>
              </w:numPr>
              <w:spacing w:after="0" w:line="240" w:lineRule="auto"/>
              <w:ind w:left="318" w:hanging="284"/>
              <w:jc w:val="both"/>
              <w:rPr>
                <w:rFonts w:ascii="Verdana" w:hAnsi="Verdana"/>
                <w:sz w:val="20"/>
                <w:szCs w:val="20"/>
              </w:rPr>
            </w:pPr>
            <w:r w:rsidRPr="00BE536E">
              <w:rPr>
                <w:rFonts w:ascii="Verdana" w:eastAsia="Times New Roman" w:hAnsi="Verdana"/>
                <w:b/>
                <w:bCs/>
                <w:sz w:val="20"/>
                <w:szCs w:val="20"/>
                <w:lang w:eastAsia="ru-RU"/>
              </w:rPr>
              <w:t>Для инвестиционного договора</w:t>
            </w:r>
            <w:r w:rsidRPr="00BE536E">
              <w:rPr>
                <w:rFonts w:ascii="Verdana" w:eastAsia="Times New Roman" w:hAnsi="Verdana"/>
                <w:bCs/>
                <w:sz w:val="20"/>
                <w:szCs w:val="20"/>
                <w:lang w:eastAsia="ru-RU"/>
              </w:rPr>
              <w:t xml:space="preserve"> -  по дате, предусмотренной в договоре. </w:t>
            </w:r>
          </w:p>
        </w:tc>
      </w:tr>
      <w:tr w:rsidR="009C22F7" w:rsidRPr="00BE536E" w14:paraId="71104E86" w14:textId="77777777" w:rsidTr="00C819D7">
        <w:trPr>
          <w:trHeight w:val="1881"/>
        </w:trPr>
        <w:tc>
          <w:tcPr>
            <w:tcW w:w="2268" w:type="dxa"/>
            <w:shd w:val="clear" w:color="auto" w:fill="A6A6A6"/>
          </w:tcPr>
          <w:p w14:paraId="0FCA2317"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58B0E6B8" w14:textId="77777777" w:rsidR="009C22F7" w:rsidRPr="00BE536E" w:rsidRDefault="009C22F7" w:rsidP="00567222">
            <w:pPr>
              <w:keepNext/>
              <w:keepLines/>
              <w:numPr>
                <w:ilvl w:val="0"/>
                <w:numId w:val="7"/>
              </w:numPr>
              <w:spacing w:after="0" w:line="240" w:lineRule="auto"/>
              <w:ind w:left="312"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Дата государственной регистрации права собственности на недвижимое имущество владельцев инвестиционных паев ПИФ, подтвержденная выпиской из ЕГРН; </w:t>
            </w:r>
          </w:p>
          <w:p w14:paraId="159017FC" w14:textId="77777777" w:rsidR="009C22F7" w:rsidRPr="00BE536E" w:rsidRDefault="009C22F7" w:rsidP="00567222">
            <w:pPr>
              <w:keepNext/>
              <w:keepLines/>
              <w:numPr>
                <w:ilvl w:val="0"/>
                <w:numId w:val="7"/>
              </w:numPr>
              <w:spacing w:after="0" w:line="240" w:lineRule="auto"/>
              <w:ind w:left="312"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Дата передачи ПИФ прав и обязательств по договору третьему лицу;</w:t>
            </w:r>
          </w:p>
          <w:p w14:paraId="53F4CAAE" w14:textId="77777777" w:rsidR="009C22F7" w:rsidRPr="00BE536E" w:rsidRDefault="009C22F7" w:rsidP="00567222">
            <w:pPr>
              <w:keepNext/>
              <w:keepLines/>
              <w:numPr>
                <w:ilvl w:val="0"/>
                <w:numId w:val="7"/>
              </w:numPr>
              <w:spacing w:after="0" w:line="240" w:lineRule="auto"/>
              <w:ind w:left="312"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Дата прочего прекращения прав и обязательств по договору в соответствии с законодательством или договором.</w:t>
            </w:r>
          </w:p>
        </w:tc>
      </w:tr>
      <w:tr w:rsidR="009C22F7" w:rsidRPr="00BE536E" w14:paraId="13D92BFA" w14:textId="77777777" w:rsidTr="00C819D7">
        <w:tc>
          <w:tcPr>
            <w:tcW w:w="2268" w:type="dxa"/>
            <w:shd w:val="clear" w:color="auto" w:fill="A6A6A6"/>
          </w:tcPr>
          <w:p w14:paraId="19A1584D"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5DC551EB"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 xml:space="preserve">Оценка справедливой стоимости договора участия в долевом строительстве объектов недвижимого имущества,  инвестиционного договора (далее - договоры), определяется независимым оценщиком. </w:t>
            </w:r>
          </w:p>
          <w:p w14:paraId="75E49D4D" w14:textId="77777777" w:rsidR="009C22F7" w:rsidRPr="00BE536E" w:rsidRDefault="009C22F7" w:rsidP="00C819D7">
            <w:pPr>
              <w:spacing w:after="0" w:line="240" w:lineRule="auto"/>
              <w:ind w:left="34"/>
              <w:jc w:val="both"/>
              <w:rPr>
                <w:rFonts w:ascii="Verdana" w:hAnsi="Verdana"/>
                <w:sz w:val="20"/>
                <w:szCs w:val="20"/>
              </w:rPr>
            </w:pPr>
          </w:p>
          <w:p w14:paraId="5E73999E" w14:textId="77777777" w:rsidR="009C22F7" w:rsidRPr="00BE536E" w:rsidRDefault="009C22F7" w:rsidP="00C819D7">
            <w:pPr>
              <w:pStyle w:val="aff5"/>
              <w:spacing w:before="0" w:after="0"/>
              <w:ind w:left="34" w:firstLine="0"/>
              <w:jc w:val="both"/>
              <w:outlineLvl w:val="9"/>
              <w:rPr>
                <w:rFonts w:ascii="Verdana" w:hAnsi="Verdana"/>
                <w:bCs/>
                <w:sz w:val="20"/>
                <w:szCs w:val="20"/>
              </w:rPr>
            </w:pPr>
            <w:r w:rsidRPr="00BE536E">
              <w:rPr>
                <w:rFonts w:ascii="Verdana" w:hAnsi="Verdana"/>
                <w:b w:val="0"/>
                <w:bCs/>
                <w:i w:val="0"/>
                <w:color w:val="000000"/>
                <w:sz w:val="20"/>
                <w:szCs w:val="20"/>
              </w:rPr>
              <w:t xml:space="preserve">Справедливая стоимость договоров </w:t>
            </w:r>
            <w:r w:rsidRPr="00BE536E">
              <w:rPr>
                <w:rFonts w:ascii="Verdana" w:hAnsi="Verdana"/>
                <w:b w:val="0"/>
                <w:i w:val="0"/>
                <w:sz w:val="20"/>
                <w:szCs w:val="20"/>
              </w:rPr>
              <w:t>участия в долевом строительстве объектов недвижимого имущества</w:t>
            </w:r>
            <w:r w:rsidRPr="00BE536E">
              <w:rPr>
                <w:rFonts w:ascii="Verdana" w:hAnsi="Verdana"/>
                <w:b w:val="0"/>
                <w:bCs/>
                <w:i w:val="0"/>
                <w:color w:val="000000"/>
                <w:sz w:val="20"/>
                <w:szCs w:val="20"/>
              </w:rPr>
              <w:t xml:space="preserve"> 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00274EE4" w:rsidRPr="00BE536E">
                <w:rPr>
                  <w:rStyle w:val="a5"/>
                  <w:rFonts w:ascii="Verdana" w:hAnsi="Verdana"/>
                  <w:b w:val="0"/>
                  <w:bCs/>
                  <w:i w:val="0"/>
                  <w:sz w:val="20"/>
                  <w:szCs w:val="20"/>
                </w:rPr>
                <w:t>Приложение 5</w:t>
              </w:r>
            </w:hyperlink>
            <w:r w:rsidRPr="00BE536E">
              <w:rPr>
                <w:rFonts w:ascii="Verdana" w:hAnsi="Verdana"/>
                <w:b w:val="0"/>
                <w:bCs/>
                <w:i w:val="0"/>
                <w:color w:val="000000"/>
                <w:sz w:val="20"/>
                <w:szCs w:val="20"/>
              </w:rPr>
              <w:t>)</w:t>
            </w:r>
            <w:r w:rsidRPr="00BE536E">
              <w:rPr>
                <w:rFonts w:ascii="Verdana" w:hAnsi="Verdana"/>
                <w:b w:val="0"/>
                <w:bCs/>
                <w:i w:val="0"/>
                <w:sz w:val="20"/>
                <w:szCs w:val="20"/>
              </w:rPr>
              <w:t>.</w:t>
            </w:r>
          </w:p>
        </w:tc>
      </w:tr>
      <w:tr w:rsidR="009C22F7" w:rsidRPr="00BE536E" w14:paraId="2E5B3B60" w14:textId="77777777" w:rsidTr="00C819D7">
        <w:tc>
          <w:tcPr>
            <w:tcW w:w="2268" w:type="dxa"/>
            <w:shd w:val="clear" w:color="auto" w:fill="A6A6A6"/>
          </w:tcPr>
          <w:p w14:paraId="0D78C6AD"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6D6A9ECE" w14:textId="77777777" w:rsidR="009C22F7" w:rsidRPr="00BE536E" w:rsidRDefault="009C22F7" w:rsidP="00C819D7">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sz w:val="20"/>
                  <w:szCs w:val="20"/>
                </w:rPr>
                <w:t>Приложении 5</w:t>
              </w:r>
            </w:hyperlink>
            <w:r w:rsidRPr="00BE536E">
              <w:rPr>
                <w:rFonts w:ascii="Verdana" w:hAnsi="Verdana"/>
                <w:sz w:val="20"/>
                <w:szCs w:val="20"/>
              </w:rPr>
              <w:t>.</w:t>
            </w:r>
          </w:p>
        </w:tc>
      </w:tr>
    </w:tbl>
    <w:p w14:paraId="7D019322" w14:textId="77777777" w:rsidR="009C22F7" w:rsidRPr="00BE536E" w:rsidRDefault="009C22F7" w:rsidP="009C22F7">
      <w:pPr>
        <w:spacing w:after="0"/>
        <w:rPr>
          <w:rFonts w:ascii="Verdana" w:hAnsi="Verdana" w:cs="Arial"/>
          <w:b/>
        </w:rPr>
        <w:sectPr w:rsidR="009C22F7" w:rsidRPr="00BE536E" w:rsidSect="00274EE4">
          <w:pgSz w:w="11906" w:h="16838" w:code="9"/>
          <w:pgMar w:top="1134" w:right="709" w:bottom="992" w:left="1701" w:header="720" w:footer="720" w:gutter="0"/>
          <w:cols w:space="720"/>
          <w:noEndnote/>
          <w:docGrid w:linePitch="360"/>
        </w:sectPr>
      </w:pPr>
    </w:p>
    <w:p w14:paraId="40768792" w14:textId="05AFF804"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951A90"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2</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Договор на строительство (создание) объекта недвижимости и договора на реконструкцию</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BE536E" w14:paraId="42F73897" w14:textId="77777777" w:rsidTr="00C819D7">
        <w:trPr>
          <w:trHeight w:val="363"/>
        </w:trPr>
        <w:tc>
          <w:tcPr>
            <w:tcW w:w="2268" w:type="dxa"/>
            <w:shd w:val="clear" w:color="auto" w:fill="A6A6A6"/>
          </w:tcPr>
          <w:p w14:paraId="1E3BCE92"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77708B68" w14:textId="77777777" w:rsidR="009C22F7" w:rsidRPr="00BE536E" w:rsidRDefault="009C22F7" w:rsidP="00567222">
            <w:pPr>
              <w:numPr>
                <w:ilvl w:val="0"/>
                <w:numId w:val="22"/>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Имущественные права из договоров, на основании которых осуществляется строительство (создание) объектов недвижимого имущества на земельном участке, который (право аренды которого) составляет активы ПИФ (далее – договор на </w:t>
            </w:r>
            <w:r w:rsidRPr="00BE536E">
              <w:rPr>
                <w:rFonts w:ascii="Verdana" w:hAnsi="Verdana"/>
                <w:sz w:val="20"/>
                <w:szCs w:val="20"/>
              </w:rPr>
              <w:t>строительство (создание) объекта недвижимости);</w:t>
            </w:r>
            <w:r w:rsidRPr="00BE536E">
              <w:rPr>
                <w:rFonts w:ascii="Verdana" w:eastAsia="Times New Roman" w:hAnsi="Verdana"/>
                <w:bCs/>
                <w:color w:val="000000"/>
                <w:sz w:val="20"/>
                <w:szCs w:val="20"/>
                <w:lang w:eastAsia="ru-RU"/>
              </w:rPr>
              <w:t xml:space="preserve"> </w:t>
            </w:r>
          </w:p>
          <w:p w14:paraId="33A102DA" w14:textId="77777777" w:rsidR="009C22F7" w:rsidRPr="00BE536E" w:rsidRDefault="009C22F7" w:rsidP="00567222">
            <w:pPr>
              <w:numPr>
                <w:ilvl w:val="0"/>
                <w:numId w:val="22"/>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Имущественные права из договоров, на основании которых осуществляется реконструкция объектов недвижимости (далее - </w:t>
            </w:r>
            <w:r w:rsidRPr="00BE536E">
              <w:rPr>
                <w:rFonts w:ascii="Verdana" w:hAnsi="Verdana"/>
                <w:sz w:val="20"/>
                <w:szCs w:val="20"/>
              </w:rPr>
              <w:t>договора на реконструкцию)</w:t>
            </w:r>
            <w:r w:rsidRPr="00BE536E">
              <w:rPr>
                <w:rFonts w:ascii="Verdana" w:eastAsia="Times New Roman" w:hAnsi="Verdana"/>
                <w:bCs/>
                <w:color w:val="000000"/>
                <w:sz w:val="20"/>
                <w:szCs w:val="20"/>
                <w:lang w:eastAsia="ru-RU"/>
              </w:rPr>
              <w:t>.</w:t>
            </w:r>
          </w:p>
        </w:tc>
      </w:tr>
      <w:tr w:rsidR="009C22F7" w:rsidRPr="00BE536E" w14:paraId="4A230A50" w14:textId="77777777" w:rsidTr="00C819D7">
        <w:trPr>
          <w:trHeight w:val="595"/>
        </w:trPr>
        <w:tc>
          <w:tcPr>
            <w:tcW w:w="2268" w:type="dxa"/>
            <w:shd w:val="clear" w:color="auto" w:fill="A6A6A6"/>
          </w:tcPr>
          <w:p w14:paraId="2142D911"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1C8E1D58" w14:textId="77777777" w:rsidR="009C22F7" w:rsidRPr="00BE536E" w:rsidRDefault="009C22F7" w:rsidP="00567222">
            <w:pPr>
              <w:numPr>
                <w:ilvl w:val="0"/>
                <w:numId w:val="23"/>
              </w:numPr>
              <w:spacing w:after="0" w:line="240" w:lineRule="auto"/>
              <w:ind w:left="318" w:hanging="284"/>
              <w:jc w:val="both"/>
              <w:rPr>
                <w:rFonts w:ascii="Verdana" w:hAnsi="Verdana"/>
                <w:sz w:val="20"/>
                <w:szCs w:val="20"/>
              </w:rPr>
            </w:pPr>
            <w:r w:rsidRPr="00BE536E">
              <w:rPr>
                <w:rFonts w:ascii="Verdana" w:hAnsi="Verdana"/>
                <w:b/>
                <w:sz w:val="20"/>
                <w:szCs w:val="20"/>
              </w:rPr>
              <w:t xml:space="preserve">Для </w:t>
            </w:r>
            <w:r w:rsidRPr="00BE536E">
              <w:rPr>
                <w:rFonts w:ascii="Verdana" w:eastAsia="Times New Roman" w:hAnsi="Verdana"/>
                <w:b/>
                <w:bCs/>
                <w:sz w:val="20"/>
                <w:szCs w:val="20"/>
                <w:lang w:eastAsia="ru-RU"/>
              </w:rPr>
              <w:t xml:space="preserve">договора на </w:t>
            </w:r>
            <w:r w:rsidRPr="00BE536E">
              <w:rPr>
                <w:rFonts w:ascii="Verdana" w:hAnsi="Verdana"/>
                <w:b/>
                <w:sz w:val="20"/>
                <w:szCs w:val="20"/>
              </w:rPr>
              <w:t>строительство (создание) объекта недвижимости</w:t>
            </w:r>
            <w:r w:rsidRPr="00BE536E">
              <w:rPr>
                <w:rFonts w:ascii="Verdana" w:hAnsi="Verdana"/>
                <w:sz w:val="20"/>
                <w:szCs w:val="20"/>
              </w:rPr>
              <w:t xml:space="preserve"> - </w:t>
            </w:r>
            <w:r w:rsidRPr="00BE536E">
              <w:rPr>
                <w:rFonts w:ascii="Verdana" w:eastAsia="Times New Roman" w:hAnsi="Verdana"/>
                <w:bCs/>
                <w:sz w:val="20"/>
                <w:szCs w:val="20"/>
                <w:lang w:eastAsia="ru-RU"/>
              </w:rPr>
              <w:t>по дате вступления в силу договора на осуществление строительства  (создания) объектов недвижимого имущества, заключенного ПИФ, как заказчиком строительства (создания) объектов недвижимого имущества;</w:t>
            </w:r>
          </w:p>
          <w:p w14:paraId="13088D57" w14:textId="77777777" w:rsidR="009C22F7" w:rsidRPr="00BE536E" w:rsidRDefault="009C22F7" w:rsidP="00567222">
            <w:pPr>
              <w:numPr>
                <w:ilvl w:val="0"/>
                <w:numId w:val="23"/>
              </w:numPr>
              <w:spacing w:after="0" w:line="240" w:lineRule="auto"/>
              <w:ind w:left="318" w:hanging="284"/>
              <w:jc w:val="both"/>
              <w:rPr>
                <w:rFonts w:ascii="Verdana" w:hAnsi="Verdana"/>
                <w:sz w:val="20"/>
                <w:szCs w:val="20"/>
              </w:rPr>
            </w:pPr>
            <w:r w:rsidRPr="00BE536E">
              <w:rPr>
                <w:rFonts w:ascii="Verdana" w:hAnsi="Verdana"/>
                <w:b/>
                <w:sz w:val="20"/>
                <w:szCs w:val="20"/>
              </w:rPr>
              <w:t>Для договора на реконструкцию</w:t>
            </w:r>
            <w:r w:rsidRPr="00BE536E">
              <w:rPr>
                <w:rFonts w:ascii="Verdana" w:hAnsi="Verdana"/>
                <w:sz w:val="20"/>
                <w:szCs w:val="20"/>
              </w:rPr>
              <w:t xml:space="preserve"> - п</w:t>
            </w:r>
            <w:r w:rsidRPr="00BE536E">
              <w:rPr>
                <w:rFonts w:ascii="Verdana" w:eastAsia="Times New Roman" w:hAnsi="Verdana"/>
                <w:bCs/>
                <w:sz w:val="20"/>
                <w:szCs w:val="20"/>
                <w:lang w:eastAsia="ru-RU"/>
              </w:rPr>
              <w:t>о дате вступления в силу договора на осуществление реконструкции объекта недвижимости, заключенного ПИФ, как заказчиком реконструкции объекта недвижимого имущества. </w:t>
            </w:r>
          </w:p>
        </w:tc>
      </w:tr>
      <w:tr w:rsidR="009C22F7" w:rsidRPr="00BE536E" w14:paraId="35F9CA00" w14:textId="77777777" w:rsidTr="00C819D7">
        <w:trPr>
          <w:trHeight w:val="845"/>
        </w:trPr>
        <w:tc>
          <w:tcPr>
            <w:tcW w:w="2268" w:type="dxa"/>
            <w:shd w:val="clear" w:color="auto" w:fill="A6A6A6"/>
          </w:tcPr>
          <w:p w14:paraId="3D4F7262"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2BE3F2D8" w14:textId="77777777" w:rsidR="009C22F7" w:rsidRPr="00BE536E" w:rsidRDefault="009C22F7" w:rsidP="00567222">
            <w:pPr>
              <w:keepNext/>
              <w:keepLines/>
              <w:numPr>
                <w:ilvl w:val="0"/>
                <w:numId w:val="7"/>
              </w:numPr>
              <w:spacing w:after="0" w:line="240" w:lineRule="auto"/>
              <w:ind w:left="312"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Дата передачи объектов недвижимого имущества по окончании строительства, подтвержденная актом приема-передачи; </w:t>
            </w:r>
          </w:p>
          <w:p w14:paraId="62E808C1" w14:textId="77777777" w:rsidR="009C22F7" w:rsidRPr="00BE536E" w:rsidRDefault="009C22F7" w:rsidP="00567222">
            <w:pPr>
              <w:keepNext/>
              <w:keepLines/>
              <w:numPr>
                <w:ilvl w:val="0"/>
                <w:numId w:val="7"/>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передача ПИФ прав и обязательств по договору третьему лицу;</w:t>
            </w:r>
          </w:p>
          <w:p w14:paraId="7AA4CE78" w14:textId="77777777" w:rsidR="009C22F7" w:rsidRPr="00BE536E" w:rsidRDefault="009C22F7" w:rsidP="00567222">
            <w:pPr>
              <w:keepNext/>
              <w:keepLines/>
              <w:numPr>
                <w:ilvl w:val="0"/>
                <w:numId w:val="7"/>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прочего прекращения прав и обязательств по договору в соответствии с законодательством или договором.</w:t>
            </w:r>
          </w:p>
          <w:p w14:paraId="1F91C330" w14:textId="77777777" w:rsidR="009C22F7" w:rsidRPr="00BE536E" w:rsidRDefault="009C22F7" w:rsidP="00C819D7">
            <w:pPr>
              <w:keepNext/>
              <w:keepLines/>
              <w:spacing w:before="200" w:after="0" w:line="240" w:lineRule="auto"/>
              <w:ind w:left="312"/>
              <w:jc w:val="both"/>
              <w:rPr>
                <w:rFonts w:ascii="Verdana" w:eastAsia="Times New Roman" w:hAnsi="Verdana"/>
                <w:bCs/>
                <w:color w:val="000000"/>
                <w:sz w:val="20"/>
                <w:szCs w:val="20"/>
                <w:lang w:eastAsia="ru-RU"/>
              </w:rPr>
            </w:pPr>
          </w:p>
        </w:tc>
      </w:tr>
      <w:tr w:rsidR="009C22F7" w:rsidRPr="00BE536E" w14:paraId="09B3E70D" w14:textId="77777777" w:rsidTr="00C819D7">
        <w:tc>
          <w:tcPr>
            <w:tcW w:w="2268" w:type="dxa"/>
            <w:shd w:val="clear" w:color="auto" w:fill="A6A6A6"/>
          </w:tcPr>
          <w:p w14:paraId="4AC7395E"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57F09D0B"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sz w:val="20"/>
                <w:szCs w:val="20"/>
              </w:rPr>
              <w:t>Справедливая стоимость договора на реконструкцию, строительство (создание) объекта недвижимости признается равной сумме затрат, связанных с приобретением прав и финансированием строительства / реконструкции по указанным договорам.</w:t>
            </w:r>
          </w:p>
          <w:p w14:paraId="44C59D4A" w14:textId="77777777" w:rsidR="009C22F7" w:rsidRPr="00BE536E" w:rsidRDefault="009C22F7" w:rsidP="00C819D7">
            <w:pPr>
              <w:pStyle w:val="aff5"/>
              <w:spacing w:before="0" w:after="0"/>
              <w:ind w:left="34" w:firstLine="0"/>
              <w:jc w:val="both"/>
              <w:outlineLvl w:val="9"/>
              <w:rPr>
                <w:rFonts w:ascii="Verdana" w:hAnsi="Verdana"/>
                <w:b w:val="0"/>
                <w:bCs/>
                <w:i w:val="0"/>
                <w:color w:val="000000"/>
                <w:sz w:val="20"/>
                <w:szCs w:val="20"/>
              </w:rPr>
            </w:pPr>
            <w:r w:rsidRPr="00BE536E">
              <w:rPr>
                <w:rFonts w:ascii="Verdana" w:hAnsi="Verdana"/>
                <w:b w:val="0"/>
                <w:bCs/>
                <w:i w:val="0"/>
                <w:color w:val="000000"/>
                <w:sz w:val="20"/>
                <w:szCs w:val="20"/>
              </w:rPr>
              <w:t xml:space="preserve">Справедливая стоимость </w:t>
            </w:r>
            <w:r w:rsidRPr="00BE536E">
              <w:rPr>
                <w:rFonts w:ascii="Verdana" w:hAnsi="Verdana"/>
                <w:b w:val="0"/>
                <w:i w:val="0"/>
                <w:sz w:val="20"/>
                <w:szCs w:val="20"/>
              </w:rPr>
              <w:t>договора на реконструкцию, строительство (создание) объекта недвижимости</w:t>
            </w:r>
            <w:r w:rsidRPr="00BE536E">
              <w:rPr>
                <w:rFonts w:ascii="Verdana" w:hAnsi="Verdana"/>
                <w:sz w:val="20"/>
                <w:szCs w:val="20"/>
              </w:rPr>
              <w:t xml:space="preserve"> </w:t>
            </w:r>
            <w:r w:rsidRPr="00BE536E">
              <w:rPr>
                <w:rFonts w:ascii="Verdana" w:hAnsi="Verdana"/>
                <w:b w:val="0"/>
                <w:bCs/>
                <w:i w:val="0"/>
                <w:color w:val="000000"/>
                <w:sz w:val="20"/>
                <w:szCs w:val="20"/>
              </w:rPr>
              <w:t>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00274EE4" w:rsidRPr="00BE536E">
                <w:rPr>
                  <w:rStyle w:val="a5"/>
                  <w:rFonts w:ascii="Verdana" w:hAnsi="Verdana"/>
                  <w:b w:val="0"/>
                  <w:bCs/>
                  <w:i w:val="0"/>
                  <w:sz w:val="20"/>
                  <w:szCs w:val="20"/>
                </w:rPr>
                <w:t>Приложение 5</w:t>
              </w:r>
            </w:hyperlink>
            <w:r w:rsidRPr="00BE536E">
              <w:rPr>
                <w:rFonts w:ascii="Verdana" w:hAnsi="Verdana"/>
                <w:b w:val="0"/>
                <w:bCs/>
                <w:i w:val="0"/>
                <w:color w:val="000000"/>
                <w:sz w:val="20"/>
                <w:szCs w:val="20"/>
              </w:rPr>
              <w:t>)</w:t>
            </w:r>
            <w:r w:rsidRPr="00BE536E">
              <w:rPr>
                <w:rFonts w:ascii="Verdana" w:hAnsi="Verdana"/>
                <w:b w:val="0"/>
                <w:bCs/>
                <w:i w:val="0"/>
                <w:sz w:val="20"/>
                <w:szCs w:val="20"/>
              </w:rPr>
              <w:t>.</w:t>
            </w:r>
          </w:p>
          <w:p w14:paraId="6C30081B" w14:textId="77777777" w:rsidR="009C22F7" w:rsidRPr="00BE536E" w:rsidRDefault="009C22F7" w:rsidP="00C819D7">
            <w:pPr>
              <w:spacing w:after="0" w:line="240" w:lineRule="auto"/>
              <w:ind w:left="34"/>
              <w:jc w:val="both"/>
              <w:rPr>
                <w:rFonts w:ascii="Verdana" w:eastAsia="Times New Roman" w:hAnsi="Verdana"/>
                <w:bCs/>
                <w:color w:val="000000"/>
                <w:sz w:val="20"/>
                <w:szCs w:val="20"/>
                <w:lang w:eastAsia="ru-RU"/>
              </w:rPr>
            </w:pPr>
          </w:p>
        </w:tc>
      </w:tr>
      <w:tr w:rsidR="009C22F7" w:rsidRPr="00BE536E" w14:paraId="01C6F85E" w14:textId="77777777" w:rsidTr="00C819D7">
        <w:tc>
          <w:tcPr>
            <w:tcW w:w="2268" w:type="dxa"/>
            <w:shd w:val="clear" w:color="auto" w:fill="A6A6A6"/>
          </w:tcPr>
          <w:p w14:paraId="55B39F49"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66F28AE2" w14:textId="77777777" w:rsidR="009C22F7" w:rsidRPr="00BE536E" w:rsidRDefault="009C22F7" w:rsidP="00C819D7">
            <w:pPr>
              <w:pStyle w:val="aff5"/>
              <w:spacing w:before="0" w:after="0"/>
              <w:ind w:left="34" w:firstLine="0"/>
              <w:jc w:val="both"/>
              <w:outlineLvl w:val="9"/>
              <w:rPr>
                <w:rFonts w:ascii="Verdana" w:hAnsi="Verdana"/>
                <w:b w:val="0"/>
                <w:i w:val="0"/>
                <w:sz w:val="20"/>
                <w:szCs w:val="20"/>
              </w:rPr>
            </w:pPr>
            <w:r w:rsidRPr="00BE536E">
              <w:rPr>
                <w:rFonts w:ascii="Verdana" w:hAnsi="Verdana"/>
                <w:sz w:val="20"/>
                <w:szCs w:val="20"/>
              </w:rPr>
              <w:t xml:space="preserve"> </w:t>
            </w:r>
            <w:r w:rsidRPr="00BE536E">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b w:val="0"/>
                  <w:i w:val="0"/>
                  <w:sz w:val="20"/>
                  <w:szCs w:val="20"/>
                </w:rPr>
                <w:t>Приложении 5</w:t>
              </w:r>
            </w:hyperlink>
            <w:r w:rsidRPr="00BE536E">
              <w:rPr>
                <w:rFonts w:ascii="Verdana" w:hAnsi="Verdana"/>
                <w:b w:val="0"/>
                <w:i w:val="0"/>
                <w:sz w:val="20"/>
                <w:szCs w:val="20"/>
              </w:rPr>
              <w:t>.</w:t>
            </w:r>
          </w:p>
        </w:tc>
      </w:tr>
    </w:tbl>
    <w:p w14:paraId="4932CFB7" w14:textId="77777777" w:rsidR="009C22F7" w:rsidRPr="00BE536E" w:rsidRDefault="009C22F7" w:rsidP="009C22F7">
      <w:pPr>
        <w:spacing w:after="0"/>
        <w:ind w:left="6096"/>
        <w:jc w:val="both"/>
        <w:rPr>
          <w:rFonts w:ascii="Verdana" w:hAnsi="Verdana" w:cs="Arial"/>
          <w:sz w:val="20"/>
          <w:szCs w:val="20"/>
        </w:rPr>
      </w:pPr>
    </w:p>
    <w:p w14:paraId="3D5787B5" w14:textId="77777777" w:rsidR="00875873" w:rsidRPr="00BE536E" w:rsidRDefault="00875873" w:rsidP="009C22F7">
      <w:pPr>
        <w:pStyle w:val="10"/>
        <w:numPr>
          <w:ilvl w:val="0"/>
          <w:numId w:val="0"/>
        </w:numPr>
        <w:ind w:left="432"/>
        <w:jc w:val="left"/>
        <w:rPr>
          <w:rFonts w:ascii="Verdana" w:hAnsi="Verdana" w:cs="Arial"/>
          <w:b w:val="0"/>
          <w:bCs w:val="0"/>
          <w:iCs w:val="0"/>
          <w:caps/>
          <w:smallCaps w:val="0"/>
          <w:color w:val="943634"/>
          <w:sz w:val="24"/>
        </w:rPr>
      </w:pPr>
    </w:p>
    <w:p w14:paraId="61FE0EA2" w14:textId="77777777" w:rsidR="00875873" w:rsidRPr="00BE536E" w:rsidRDefault="00875873" w:rsidP="00567222">
      <w:pPr>
        <w:rPr>
          <w:lang w:eastAsia="ru-RU"/>
        </w:rPr>
      </w:pPr>
    </w:p>
    <w:p w14:paraId="6A843B8F" w14:textId="4ACA6275"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951A90"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3</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Денежные требования по кредитным договорам (в т.ч. удостоверенные закладными) и договорам займа, по которым ПИФ является заимодавцем </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BE536E" w14:paraId="6BBFF262" w14:textId="77777777" w:rsidTr="00C819D7">
        <w:trPr>
          <w:trHeight w:val="363"/>
        </w:trPr>
        <w:tc>
          <w:tcPr>
            <w:tcW w:w="2268" w:type="dxa"/>
            <w:shd w:val="clear" w:color="auto" w:fill="A6A6A6"/>
          </w:tcPr>
          <w:p w14:paraId="6DEDCD90"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56F40DBD"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Денежные требования по кредитным договорам (в т.ч. удостоверенные закладными) и договорам выданных займов  (далее – ссуда)</w:t>
            </w:r>
          </w:p>
        </w:tc>
      </w:tr>
      <w:tr w:rsidR="009C22F7" w:rsidRPr="00BE536E" w14:paraId="762EA59A" w14:textId="77777777" w:rsidTr="00C819D7">
        <w:trPr>
          <w:trHeight w:val="595"/>
        </w:trPr>
        <w:tc>
          <w:tcPr>
            <w:tcW w:w="2268" w:type="dxa"/>
            <w:shd w:val="clear" w:color="auto" w:fill="A6A6A6"/>
          </w:tcPr>
          <w:p w14:paraId="3DC29AEE" w14:textId="77777777" w:rsidR="009C22F7" w:rsidRPr="00BE536E" w:rsidRDefault="009C22F7" w:rsidP="00C819D7">
            <w:pPr>
              <w:rPr>
                <w:rFonts w:ascii="Verdana" w:hAnsi="Verdana"/>
                <w:b/>
                <w:i/>
                <w:sz w:val="20"/>
                <w:szCs w:val="20"/>
              </w:rPr>
            </w:pPr>
            <w:r w:rsidRPr="00BE536E">
              <w:rPr>
                <w:rFonts w:ascii="Verdana" w:hAnsi="Verdana"/>
                <w:b/>
                <w:i/>
                <w:sz w:val="20"/>
                <w:szCs w:val="20"/>
              </w:rPr>
              <w:t>Критерии признания</w:t>
            </w:r>
          </w:p>
        </w:tc>
        <w:tc>
          <w:tcPr>
            <w:tcW w:w="7371" w:type="dxa"/>
          </w:tcPr>
          <w:p w14:paraId="6DBE63B7"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Для денежных требований по кредитным договорам и договорам выданных займов:</w:t>
            </w:r>
          </w:p>
          <w:p w14:paraId="3C0459B8" w14:textId="77777777" w:rsidR="009C22F7" w:rsidRPr="00BE536E" w:rsidRDefault="009C22F7" w:rsidP="00D05311">
            <w:pPr>
              <w:numPr>
                <w:ilvl w:val="0"/>
                <w:numId w:val="37"/>
              </w:numPr>
              <w:rPr>
                <w:rFonts w:ascii="Verdana" w:hAnsi="Verdana"/>
                <w:sz w:val="20"/>
                <w:szCs w:val="20"/>
              </w:rPr>
            </w:pPr>
            <w:r w:rsidRPr="00BE536E">
              <w:rPr>
                <w:rFonts w:ascii="Verdana" w:eastAsia="Times New Roman" w:hAnsi="Verdana"/>
                <w:bCs/>
                <w:color w:val="000000"/>
                <w:sz w:val="20"/>
                <w:szCs w:val="20"/>
                <w:lang w:eastAsia="ru-RU"/>
              </w:rPr>
              <w:t xml:space="preserve">Дата предоставления кредита (займа) по договору, подтвержденная выпиской с банковского счета, открытого на управляющую компанию Д.У. ПИФ; </w:t>
            </w:r>
          </w:p>
          <w:p w14:paraId="0DF2B39A" w14:textId="77777777" w:rsidR="009C22F7" w:rsidRPr="00BE536E" w:rsidRDefault="009C22F7" w:rsidP="00D05311">
            <w:pPr>
              <w:numPr>
                <w:ilvl w:val="0"/>
                <w:numId w:val="37"/>
              </w:numPr>
              <w:rPr>
                <w:rFonts w:ascii="Verdana" w:hAnsi="Verdana"/>
                <w:sz w:val="20"/>
                <w:szCs w:val="20"/>
              </w:rPr>
            </w:pPr>
            <w:r w:rsidRPr="00BE536E">
              <w:rPr>
                <w:rFonts w:ascii="Verdana" w:eastAsia="Times New Roman" w:hAnsi="Verdana"/>
                <w:bCs/>
                <w:color w:val="000000"/>
                <w:sz w:val="20"/>
                <w:szCs w:val="20"/>
                <w:lang w:eastAsia="ru-RU"/>
              </w:rPr>
              <w:t xml:space="preserve">Дата переуступки права требования по ссуде на основании договора; </w:t>
            </w:r>
          </w:p>
          <w:p w14:paraId="32E0C08F" w14:textId="77777777" w:rsidR="009C22F7" w:rsidRPr="00BE536E" w:rsidRDefault="009C22F7" w:rsidP="00D05311">
            <w:pPr>
              <w:numPr>
                <w:ilvl w:val="0"/>
                <w:numId w:val="37"/>
              </w:numPr>
              <w:rPr>
                <w:rFonts w:ascii="Verdana" w:hAnsi="Verdana"/>
                <w:sz w:val="20"/>
                <w:szCs w:val="20"/>
              </w:rPr>
            </w:pPr>
            <w:r w:rsidRPr="00BE536E">
              <w:rPr>
                <w:rFonts w:ascii="Verdana" w:eastAsia="Times New Roman" w:hAnsi="Verdana"/>
                <w:bCs/>
                <w:color w:val="000000"/>
                <w:sz w:val="20"/>
                <w:szCs w:val="20"/>
                <w:lang w:eastAsia="ru-RU"/>
              </w:rPr>
              <w:t>Дата перехода права за залоговое имущество (если таковым являются права требования из договоров займа/кредитных договоров) при обращении взыскания на предмет залога.</w:t>
            </w:r>
          </w:p>
          <w:p w14:paraId="73480ED4"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 xml:space="preserve">Для денежных требований по кредитным договорам и договорам займа, удостоверенных закладными (далее - Закладные): </w:t>
            </w:r>
          </w:p>
          <w:p w14:paraId="2E6DD5E6" w14:textId="77777777" w:rsidR="009C22F7" w:rsidRPr="00BE536E" w:rsidRDefault="009C22F7" w:rsidP="00D05311">
            <w:pPr>
              <w:numPr>
                <w:ilvl w:val="0"/>
                <w:numId w:val="80"/>
              </w:numPr>
              <w:ind w:left="743"/>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передаточной надписи на Закладной с указанием, что владельцем Закладной является управляющая компания Д.У.ПИФ.</w:t>
            </w:r>
          </w:p>
          <w:p w14:paraId="46B3AE33" w14:textId="77777777" w:rsidR="00875873" w:rsidRPr="00BE536E" w:rsidRDefault="00875873" w:rsidP="00D05311">
            <w:pPr>
              <w:numPr>
                <w:ilvl w:val="0"/>
                <w:numId w:val="80"/>
              </w:numPr>
              <w:ind w:left="743"/>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выдачи закладной в случае, если закладную выпускает управляющая компания Д.У. ПИФ</w:t>
            </w:r>
          </w:p>
        </w:tc>
      </w:tr>
      <w:tr w:rsidR="009C22F7" w:rsidRPr="00BE536E" w14:paraId="436BDDB5" w14:textId="77777777" w:rsidTr="00C819D7">
        <w:trPr>
          <w:trHeight w:val="570"/>
        </w:trPr>
        <w:tc>
          <w:tcPr>
            <w:tcW w:w="2268" w:type="dxa"/>
            <w:shd w:val="clear" w:color="auto" w:fill="A6A6A6"/>
          </w:tcPr>
          <w:p w14:paraId="7694054B" w14:textId="77777777" w:rsidR="009C22F7" w:rsidRPr="00BE536E" w:rsidRDefault="009C22F7" w:rsidP="00C819D7">
            <w:pPr>
              <w:rPr>
                <w:rFonts w:ascii="Verdana" w:hAnsi="Verdana"/>
                <w:b/>
                <w:bCs/>
                <w:i/>
                <w:sz w:val="20"/>
                <w:szCs w:val="20"/>
              </w:rPr>
            </w:pPr>
            <w:r w:rsidRPr="00BE536E">
              <w:rPr>
                <w:rFonts w:ascii="Verdana" w:hAnsi="Verdana"/>
                <w:b/>
                <w:bCs/>
                <w:i/>
                <w:sz w:val="20"/>
                <w:szCs w:val="20"/>
              </w:rPr>
              <w:t>Критерии прекращения признания</w:t>
            </w:r>
          </w:p>
        </w:tc>
        <w:tc>
          <w:tcPr>
            <w:tcW w:w="7371" w:type="dxa"/>
          </w:tcPr>
          <w:p w14:paraId="279C144B"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Для денежных требований по кредитным договорам и договорам выданных займов:</w:t>
            </w:r>
          </w:p>
          <w:p w14:paraId="29C35970" w14:textId="77777777" w:rsidR="009C22F7" w:rsidRPr="00BE536E" w:rsidRDefault="009C22F7" w:rsidP="00D05311">
            <w:pPr>
              <w:numPr>
                <w:ilvl w:val="0"/>
                <w:numId w:val="38"/>
              </w:numPr>
              <w:ind w:left="81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полного погашения кредита (займа), подтвержденная выпиской с банковского счета, открытого на управляющую компанию Д.У. ПИФ;</w:t>
            </w:r>
          </w:p>
          <w:p w14:paraId="464AEF82" w14:textId="77777777" w:rsidR="009C22F7" w:rsidRPr="00BE536E" w:rsidRDefault="009C22F7" w:rsidP="00D05311">
            <w:pPr>
              <w:numPr>
                <w:ilvl w:val="0"/>
                <w:numId w:val="38"/>
              </w:numPr>
              <w:ind w:left="81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переуступки права требования по ссуде на основании договора;</w:t>
            </w:r>
          </w:p>
          <w:p w14:paraId="43D3358E" w14:textId="77777777" w:rsidR="009C22F7" w:rsidRPr="00BE536E" w:rsidRDefault="009C22F7" w:rsidP="00D05311">
            <w:pPr>
              <w:numPr>
                <w:ilvl w:val="0"/>
                <w:numId w:val="38"/>
              </w:numPr>
              <w:ind w:left="81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ликвидации заемщика согласно информации, раскрытой в официальном доступном источнике (в том числе записи в ЕГРЮЛ о ликвидации заемщика); </w:t>
            </w:r>
          </w:p>
          <w:p w14:paraId="18BA4E92" w14:textId="77777777" w:rsidR="009C22F7" w:rsidRPr="00BE536E" w:rsidRDefault="009C22F7" w:rsidP="00D05311">
            <w:pPr>
              <w:numPr>
                <w:ilvl w:val="0"/>
                <w:numId w:val="38"/>
              </w:numPr>
              <w:ind w:left="819"/>
              <w:jc w:val="both"/>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государственной регистрации права собственности ПИФ на залоговое имущество, например,</w:t>
            </w:r>
            <w:r w:rsidRPr="00BE536E">
              <w:rPr>
                <w:rFonts w:ascii="Verdana" w:hAnsi="Verdana"/>
                <w:sz w:val="20"/>
                <w:szCs w:val="20"/>
              </w:rPr>
              <w:t xml:space="preserve"> подтвержденная </w:t>
            </w:r>
            <w:r w:rsidRPr="00BE536E">
              <w:rPr>
                <w:rFonts w:ascii="Verdana" w:hAnsi="Verdana"/>
                <w:sz w:val="20"/>
                <w:szCs w:val="20"/>
              </w:rPr>
              <w:lastRenderedPageBreak/>
              <w:t>выпиской из ЕГРН</w:t>
            </w:r>
            <w:r w:rsidRPr="00BE536E">
              <w:rPr>
                <w:rFonts w:ascii="Verdana" w:eastAsia="Times New Roman" w:hAnsi="Verdana"/>
                <w:bCs/>
                <w:iCs/>
                <w:color w:val="000000"/>
                <w:sz w:val="20"/>
                <w:szCs w:val="20"/>
                <w:lang w:eastAsia="ru-RU"/>
              </w:rPr>
              <w:t xml:space="preserve"> – в случае обращения взыскания на предмет залога в виде объекта недвижимости и поступления в состав ПИФ залогового имущества. </w:t>
            </w:r>
          </w:p>
          <w:p w14:paraId="3E65038B"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 xml:space="preserve">Для  Закладных:   </w:t>
            </w:r>
          </w:p>
          <w:p w14:paraId="4445B06E" w14:textId="77777777" w:rsidR="009C22F7" w:rsidRPr="00BE536E" w:rsidRDefault="009C22F7" w:rsidP="00D05311">
            <w:pPr>
              <w:numPr>
                <w:ilvl w:val="0"/>
                <w:numId w:val="39"/>
              </w:numPr>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передаточной надписи на  Закладной  с указанием, что новым владельцем закладной является стороннее лицо;</w:t>
            </w:r>
          </w:p>
          <w:p w14:paraId="408E49FF" w14:textId="77777777" w:rsidR="009C22F7" w:rsidRPr="00BE536E" w:rsidRDefault="009C22F7" w:rsidP="00D05311">
            <w:pPr>
              <w:numPr>
                <w:ilvl w:val="0"/>
                <w:numId w:val="39"/>
              </w:numPr>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полного исполнения обязательств заемщиком;</w:t>
            </w:r>
          </w:p>
          <w:p w14:paraId="2DB993E7" w14:textId="77777777" w:rsidR="009C22F7" w:rsidRPr="00BE536E" w:rsidRDefault="009C22F7" w:rsidP="00D05311">
            <w:pPr>
              <w:numPr>
                <w:ilvl w:val="0"/>
                <w:numId w:val="38"/>
              </w:numPr>
              <w:ind w:left="743" w:hanging="357"/>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государственной регистрации права собственности на залоговое имущество,</w:t>
            </w:r>
            <w:r w:rsidRPr="00BE536E">
              <w:rPr>
                <w:rFonts w:ascii="Verdana" w:hAnsi="Verdana"/>
                <w:sz w:val="20"/>
                <w:szCs w:val="20"/>
              </w:rPr>
              <w:t xml:space="preserve"> подтвержденная выпиской из ЕГРН</w:t>
            </w:r>
            <w:r w:rsidRPr="00BE536E">
              <w:rPr>
                <w:rFonts w:ascii="Verdana" w:eastAsia="Times New Roman" w:hAnsi="Verdana"/>
                <w:bCs/>
                <w:iCs/>
                <w:color w:val="000000"/>
                <w:sz w:val="20"/>
                <w:szCs w:val="20"/>
                <w:lang w:eastAsia="ru-RU"/>
              </w:rPr>
              <w:t xml:space="preserve"> – в случае обращения взыскания на предмет залога и поступления в состав ПИФ залогового имущества.</w:t>
            </w:r>
          </w:p>
        </w:tc>
      </w:tr>
      <w:tr w:rsidR="009C22F7" w:rsidRPr="00BE536E" w14:paraId="767F4B8A" w14:textId="77777777" w:rsidTr="00C819D7">
        <w:tc>
          <w:tcPr>
            <w:tcW w:w="2268" w:type="dxa"/>
            <w:shd w:val="clear" w:color="auto" w:fill="A6A6A6"/>
          </w:tcPr>
          <w:p w14:paraId="1C254BF6"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lastRenderedPageBreak/>
              <w:t>Справедливая стоимость</w:t>
            </w:r>
          </w:p>
        </w:tc>
        <w:tc>
          <w:tcPr>
            <w:tcW w:w="7371" w:type="dxa"/>
          </w:tcPr>
          <w:p w14:paraId="5DDFE2B9" w14:textId="77777777" w:rsidR="009C22F7" w:rsidRPr="00BE536E" w:rsidRDefault="009C22F7" w:rsidP="00C819D7">
            <w:pPr>
              <w:tabs>
                <w:tab w:val="left" w:pos="993"/>
              </w:tabs>
              <w:jc w:val="both"/>
              <w:rPr>
                <w:rFonts w:ascii="Verdana" w:hAnsi="Verdana"/>
                <w:sz w:val="20"/>
              </w:rPr>
            </w:pPr>
            <w:r w:rsidRPr="00BE536E">
              <w:rPr>
                <w:rFonts w:ascii="Verdana" w:hAnsi="Verdana"/>
                <w:bCs/>
                <w:color w:val="000000"/>
                <w:sz w:val="20"/>
              </w:rPr>
              <w:t xml:space="preserve">Справедливая стоимость ссуды </w:t>
            </w:r>
            <w:r w:rsidRPr="00BE536E">
              <w:rPr>
                <w:rFonts w:ascii="Verdana" w:hAnsi="Verdana"/>
                <w:sz w:val="20"/>
              </w:rPr>
              <w:t>в течение максимального срока, предусмотренного договором,  определяется  в соответствии с методикой определения справедливой стоимости с учетом кредитного риска (</w:t>
            </w:r>
            <w:hyperlink w:anchor="_Приложение_6._Метод" w:history="1">
              <w:r w:rsidR="00274EE4" w:rsidRPr="00BE536E">
                <w:rPr>
                  <w:rStyle w:val="a5"/>
                  <w:rFonts w:ascii="Verdana" w:hAnsi="Verdana"/>
                  <w:sz w:val="20"/>
                </w:rPr>
                <w:t>Приложение 5</w:t>
              </w:r>
            </w:hyperlink>
            <w:r w:rsidRPr="00BE536E">
              <w:rPr>
                <w:rFonts w:ascii="Verdana" w:hAnsi="Verdana"/>
                <w:sz w:val="20"/>
              </w:rPr>
              <w:t>).</w:t>
            </w:r>
          </w:p>
          <w:p w14:paraId="7109C28C" w14:textId="77777777" w:rsidR="009C22F7" w:rsidRPr="00BE536E" w:rsidRDefault="009C22F7" w:rsidP="00C819D7">
            <w:pPr>
              <w:tabs>
                <w:tab w:val="left" w:pos="993"/>
              </w:tabs>
              <w:jc w:val="both"/>
              <w:rPr>
                <w:rFonts w:ascii="Verdana" w:hAnsi="Verdana"/>
                <w:bCs/>
                <w:color w:val="000000"/>
                <w:sz w:val="20"/>
              </w:rPr>
            </w:pPr>
            <w:r w:rsidRPr="00BE536E">
              <w:rPr>
                <w:rFonts w:ascii="Verdana" w:hAnsi="Verdana"/>
                <w:bCs/>
                <w:color w:val="000000"/>
                <w:sz w:val="20"/>
              </w:rPr>
              <w:t xml:space="preserve">Если договор не содержит конкретной даты погашения ссуды, то такая дата определяется на основании экспертного (мотивированного) суждения управляющей компании, которое должно содержать обоснованный вывод о сроке возврата ссуды, основанный, в том числе на собственной практике работы с аналогичными заемщиками и (или) общей рыночной практике погашения аналогичных ссуд и иных данных. </w:t>
            </w:r>
          </w:p>
          <w:p w14:paraId="1E7971EB"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3413FDFE"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случае внесения изменения в </w:t>
            </w:r>
            <w:r w:rsidRPr="00BE536E">
              <w:rPr>
                <w:rFonts w:ascii="Verdana" w:hAnsi="Verdana"/>
                <w:sz w:val="20"/>
                <w:szCs w:val="20"/>
              </w:rPr>
              <w:t>условия определения срока</w:t>
            </w:r>
            <w:r w:rsidRPr="00BE536E">
              <w:rPr>
                <w:rFonts w:ascii="Verdana" w:eastAsia="Times New Roman" w:hAnsi="Verdana"/>
                <w:bCs/>
                <w:color w:val="000000"/>
                <w:sz w:val="20"/>
                <w:szCs w:val="20"/>
                <w:lang w:eastAsia="ru-RU"/>
              </w:rPr>
              <w:t xml:space="preserve"> договора </w:t>
            </w:r>
            <w:r w:rsidRPr="00BE536E">
              <w:rPr>
                <w:rFonts w:ascii="Verdana" w:hAnsi="Verdana"/>
                <w:sz w:val="20"/>
                <w:szCs w:val="20"/>
              </w:rPr>
              <w:t>максимальный срок определяется в соответствии с  изменённым сроком ссуды, действующим на дату определения справедливой стоимости, причем накопление срока кредита (займа) не происходит.</w:t>
            </w:r>
          </w:p>
          <w:p w14:paraId="7E03C6E5" w14:textId="77777777" w:rsidR="009C22F7" w:rsidRPr="00BE536E" w:rsidRDefault="009C22F7" w:rsidP="00C819D7">
            <w:pPr>
              <w:pStyle w:val="aff5"/>
              <w:spacing w:before="0" w:after="0"/>
              <w:ind w:left="34" w:firstLine="0"/>
              <w:jc w:val="both"/>
              <w:outlineLvl w:val="9"/>
              <w:rPr>
                <w:rFonts w:ascii="Verdana" w:hAnsi="Verdana"/>
                <w:b w:val="0"/>
                <w:bCs/>
                <w:i w:val="0"/>
                <w:color w:val="000000"/>
                <w:sz w:val="20"/>
                <w:szCs w:val="20"/>
              </w:rPr>
            </w:pPr>
          </w:p>
          <w:p w14:paraId="71F24649"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091EB312" w14:textId="77777777" w:rsidTr="00C819D7">
        <w:trPr>
          <w:trHeight w:val="983"/>
        </w:trPr>
        <w:tc>
          <w:tcPr>
            <w:tcW w:w="2268" w:type="dxa"/>
            <w:shd w:val="clear" w:color="auto" w:fill="A6A6A6"/>
          </w:tcPr>
          <w:p w14:paraId="0C81D211" w14:textId="77777777" w:rsidR="009C22F7" w:rsidRPr="00BE536E" w:rsidRDefault="009C22F7" w:rsidP="00C819D7">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6B647D10" w14:textId="77777777" w:rsidR="009C22F7" w:rsidRPr="00BE536E" w:rsidRDefault="009C22F7" w:rsidP="00C819D7">
            <w:pPr>
              <w:pStyle w:val="aff5"/>
              <w:spacing w:before="0" w:after="0"/>
              <w:ind w:left="34" w:firstLine="0"/>
              <w:jc w:val="both"/>
              <w:outlineLvl w:val="9"/>
              <w:rPr>
                <w:rFonts w:ascii="Verdana" w:hAnsi="Verdana"/>
                <w:b w:val="0"/>
                <w:bCs/>
                <w:i w:val="0"/>
                <w:color w:val="000000"/>
                <w:sz w:val="20"/>
                <w:szCs w:val="20"/>
              </w:rPr>
            </w:pPr>
            <w:r w:rsidRPr="00BE536E">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b w:val="0"/>
                  <w:i w:val="0"/>
                  <w:sz w:val="20"/>
                  <w:szCs w:val="20"/>
                </w:rPr>
                <w:t>Приложении 5</w:t>
              </w:r>
            </w:hyperlink>
            <w:r w:rsidRPr="00BE536E">
              <w:rPr>
                <w:rFonts w:ascii="Verdana" w:hAnsi="Verdana"/>
                <w:b w:val="0"/>
                <w:i w:val="0"/>
                <w:sz w:val="20"/>
                <w:szCs w:val="20"/>
              </w:rPr>
              <w:t>.</w:t>
            </w:r>
          </w:p>
        </w:tc>
      </w:tr>
    </w:tbl>
    <w:p w14:paraId="79C86E83" w14:textId="77777777" w:rsidR="009C22F7" w:rsidRPr="00BE536E" w:rsidRDefault="009C22F7" w:rsidP="009C22F7">
      <w:pPr>
        <w:spacing w:after="0"/>
        <w:ind w:left="6096"/>
        <w:jc w:val="both"/>
        <w:rPr>
          <w:rFonts w:ascii="Verdana" w:hAnsi="Verdana" w:cs="Arial"/>
          <w:sz w:val="20"/>
          <w:szCs w:val="20"/>
        </w:rPr>
      </w:pPr>
    </w:p>
    <w:p w14:paraId="1944818B" w14:textId="77777777" w:rsidR="009C22F7" w:rsidRPr="00BE536E" w:rsidRDefault="009C22F7" w:rsidP="009C22F7">
      <w:pPr>
        <w:spacing w:after="0"/>
        <w:ind w:left="6096"/>
        <w:jc w:val="both"/>
        <w:rPr>
          <w:rFonts w:ascii="Verdana" w:hAnsi="Verdana" w:cs="Arial"/>
          <w:sz w:val="20"/>
          <w:szCs w:val="20"/>
        </w:rPr>
      </w:pPr>
    </w:p>
    <w:p w14:paraId="742A5EFA" w14:textId="77777777" w:rsidR="009C22F7" w:rsidRPr="00BE536E" w:rsidRDefault="009C22F7" w:rsidP="009C22F7">
      <w:pPr>
        <w:spacing w:after="0"/>
        <w:ind w:left="6096"/>
        <w:jc w:val="both"/>
        <w:rPr>
          <w:rFonts w:ascii="Verdana" w:hAnsi="Verdana" w:cs="Arial"/>
          <w:sz w:val="20"/>
          <w:szCs w:val="20"/>
        </w:rPr>
      </w:pPr>
    </w:p>
    <w:p w14:paraId="188A807A" w14:textId="77777777" w:rsidR="009C22F7" w:rsidRPr="00BE536E" w:rsidRDefault="009C22F7" w:rsidP="009C22F7">
      <w:pPr>
        <w:spacing w:after="0"/>
        <w:ind w:left="6096"/>
        <w:jc w:val="both"/>
        <w:rPr>
          <w:rFonts w:ascii="Verdana" w:hAnsi="Verdana" w:cs="Arial"/>
          <w:sz w:val="20"/>
          <w:szCs w:val="20"/>
        </w:rPr>
      </w:pPr>
    </w:p>
    <w:p w14:paraId="146F9247" w14:textId="77777777" w:rsidR="009C22F7" w:rsidRPr="00BE536E" w:rsidRDefault="009C22F7" w:rsidP="009C22F7">
      <w:pPr>
        <w:spacing w:after="0"/>
        <w:ind w:left="6096"/>
        <w:jc w:val="both"/>
        <w:rPr>
          <w:rFonts w:ascii="Verdana" w:hAnsi="Verdana" w:cs="Arial"/>
          <w:sz w:val="20"/>
          <w:szCs w:val="20"/>
        </w:rPr>
      </w:pPr>
    </w:p>
    <w:p w14:paraId="174B6BFC" w14:textId="77777777" w:rsidR="009C22F7" w:rsidRPr="00BE536E" w:rsidRDefault="009C22F7" w:rsidP="009C22F7">
      <w:pPr>
        <w:spacing w:after="0"/>
        <w:ind w:left="6096"/>
        <w:jc w:val="both"/>
        <w:rPr>
          <w:rFonts w:ascii="Verdana" w:hAnsi="Verdana" w:cs="Arial"/>
          <w:sz w:val="20"/>
          <w:szCs w:val="20"/>
        </w:rPr>
      </w:pPr>
    </w:p>
    <w:p w14:paraId="437A733F" w14:textId="77777777" w:rsidR="009C22F7" w:rsidRPr="00BE536E" w:rsidRDefault="009C22F7" w:rsidP="009C22F7">
      <w:pPr>
        <w:spacing w:after="0"/>
        <w:ind w:left="6096"/>
        <w:jc w:val="both"/>
        <w:rPr>
          <w:rFonts w:ascii="Verdana" w:hAnsi="Verdana" w:cs="Arial"/>
          <w:sz w:val="20"/>
          <w:szCs w:val="20"/>
        </w:rPr>
      </w:pPr>
    </w:p>
    <w:p w14:paraId="4BA4036A" w14:textId="77777777" w:rsidR="009C22F7" w:rsidRPr="00BE536E" w:rsidRDefault="009C22F7" w:rsidP="009C22F7">
      <w:pPr>
        <w:spacing w:after="0"/>
        <w:ind w:left="6096"/>
        <w:jc w:val="both"/>
        <w:rPr>
          <w:rFonts w:ascii="Verdana" w:hAnsi="Verdana" w:cs="Arial"/>
          <w:sz w:val="20"/>
          <w:szCs w:val="20"/>
        </w:rPr>
      </w:pPr>
    </w:p>
    <w:p w14:paraId="6E23D6F1" w14:textId="77777777" w:rsidR="009C22F7" w:rsidRPr="00BE536E" w:rsidRDefault="009C22F7" w:rsidP="009C22F7">
      <w:pPr>
        <w:spacing w:after="0"/>
        <w:ind w:left="6096"/>
        <w:jc w:val="both"/>
        <w:rPr>
          <w:rFonts w:ascii="Verdana" w:hAnsi="Verdana" w:cs="Arial"/>
          <w:sz w:val="20"/>
          <w:szCs w:val="20"/>
        </w:rPr>
      </w:pPr>
    </w:p>
    <w:p w14:paraId="6FF9C8CB" w14:textId="77777777" w:rsidR="009C22F7" w:rsidRPr="00BE536E" w:rsidRDefault="009C22F7" w:rsidP="009C22F7">
      <w:pPr>
        <w:spacing w:after="0"/>
        <w:ind w:left="6096"/>
        <w:jc w:val="both"/>
        <w:rPr>
          <w:rFonts w:ascii="Verdana" w:hAnsi="Verdana" w:cs="Arial"/>
          <w:sz w:val="20"/>
          <w:szCs w:val="20"/>
        </w:rPr>
      </w:pPr>
    </w:p>
    <w:p w14:paraId="5C990DA7" w14:textId="512FF466"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Приложение 2</w:t>
      </w:r>
      <w:r w:rsidR="00B831EB" w:rsidRPr="00BE536E">
        <w:rPr>
          <w:rFonts w:ascii="Verdana" w:hAnsi="Verdana" w:cs="Arial"/>
          <w:b w:val="0"/>
          <w:bCs w:val="0"/>
          <w:iCs w:val="0"/>
          <w:caps/>
          <w:smallCaps w:val="0"/>
          <w:color w:val="943634"/>
          <w:sz w:val="24"/>
        </w:rPr>
        <w:t>4</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Денежные Обязательства ИЗ кредитных договоров и договоров займа, по которым ПИФ является зАЁМЩИКОМ</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BE536E" w14:paraId="6B45905A" w14:textId="77777777" w:rsidTr="00C819D7">
        <w:trPr>
          <w:trHeight w:val="363"/>
        </w:trPr>
        <w:tc>
          <w:tcPr>
            <w:tcW w:w="2268" w:type="dxa"/>
            <w:shd w:val="clear" w:color="auto" w:fill="A6A6A6"/>
          </w:tcPr>
          <w:p w14:paraId="76ADADE2"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обязательств</w:t>
            </w:r>
          </w:p>
        </w:tc>
        <w:tc>
          <w:tcPr>
            <w:tcW w:w="7371" w:type="dxa"/>
          </w:tcPr>
          <w:p w14:paraId="7FF4BEB8"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Денежные обязательства из кредитных договоров и договоров полученных займов, по которым ПИФ является заемщиком</w:t>
            </w:r>
          </w:p>
        </w:tc>
      </w:tr>
      <w:tr w:rsidR="009C22F7" w:rsidRPr="00BE536E" w14:paraId="72B38B12" w14:textId="77777777" w:rsidTr="00C819D7">
        <w:trPr>
          <w:trHeight w:val="595"/>
        </w:trPr>
        <w:tc>
          <w:tcPr>
            <w:tcW w:w="2268" w:type="dxa"/>
            <w:shd w:val="clear" w:color="auto" w:fill="A6A6A6"/>
          </w:tcPr>
          <w:p w14:paraId="66BFC21B" w14:textId="77777777" w:rsidR="009C22F7" w:rsidRPr="00BE536E" w:rsidRDefault="009C22F7" w:rsidP="00C819D7">
            <w:pPr>
              <w:rPr>
                <w:rFonts w:ascii="Verdana" w:hAnsi="Verdana"/>
                <w:b/>
                <w:i/>
                <w:sz w:val="20"/>
                <w:szCs w:val="20"/>
              </w:rPr>
            </w:pPr>
            <w:r w:rsidRPr="00BE536E">
              <w:rPr>
                <w:rFonts w:ascii="Verdana" w:hAnsi="Verdana"/>
                <w:b/>
                <w:i/>
                <w:sz w:val="20"/>
                <w:szCs w:val="20"/>
              </w:rPr>
              <w:t>Критерии признания</w:t>
            </w:r>
          </w:p>
        </w:tc>
        <w:tc>
          <w:tcPr>
            <w:tcW w:w="7371" w:type="dxa"/>
          </w:tcPr>
          <w:p w14:paraId="658677EC" w14:textId="77777777" w:rsidR="009C22F7" w:rsidRPr="00BE536E" w:rsidRDefault="009C22F7" w:rsidP="00C819D7">
            <w:pPr>
              <w:jc w:val="both"/>
              <w:rPr>
                <w:rFonts w:ascii="Verdana" w:eastAsia="Times New Roman" w:hAnsi="Verdana"/>
                <w:bCs/>
                <w:iCs/>
                <w:color w:val="000000"/>
                <w:sz w:val="20"/>
                <w:szCs w:val="20"/>
                <w:lang w:eastAsia="ru-RU"/>
              </w:rPr>
            </w:pPr>
            <w:r w:rsidRPr="00BE536E">
              <w:rPr>
                <w:rFonts w:ascii="Verdana" w:eastAsia="Times New Roman" w:hAnsi="Verdana"/>
                <w:bCs/>
                <w:color w:val="000000"/>
                <w:sz w:val="20"/>
                <w:szCs w:val="20"/>
                <w:lang w:eastAsia="ru-RU"/>
              </w:rPr>
              <w:t>Дата получения кредита (займа) на основании заключенного договора, подтвержденная выпиской с банковского счета, открытого на управляющую компанию Д.У. ПИФ</w:t>
            </w:r>
          </w:p>
        </w:tc>
      </w:tr>
      <w:tr w:rsidR="009C22F7" w:rsidRPr="00BE536E" w14:paraId="418A6122" w14:textId="77777777" w:rsidTr="00C819D7">
        <w:trPr>
          <w:trHeight w:val="570"/>
        </w:trPr>
        <w:tc>
          <w:tcPr>
            <w:tcW w:w="2268" w:type="dxa"/>
            <w:shd w:val="clear" w:color="auto" w:fill="A6A6A6"/>
          </w:tcPr>
          <w:p w14:paraId="6CEB38C8" w14:textId="77777777" w:rsidR="009C22F7" w:rsidRPr="00BE536E" w:rsidRDefault="009C22F7" w:rsidP="00C819D7">
            <w:pPr>
              <w:rPr>
                <w:rFonts w:ascii="Verdana" w:hAnsi="Verdana"/>
                <w:b/>
                <w:bCs/>
                <w:i/>
                <w:sz w:val="20"/>
                <w:szCs w:val="20"/>
              </w:rPr>
            </w:pPr>
            <w:r w:rsidRPr="00BE536E">
              <w:rPr>
                <w:rFonts w:ascii="Verdana" w:hAnsi="Verdana"/>
                <w:b/>
                <w:bCs/>
                <w:i/>
                <w:sz w:val="20"/>
                <w:szCs w:val="20"/>
              </w:rPr>
              <w:t>Критерии прекращения признания</w:t>
            </w:r>
          </w:p>
        </w:tc>
        <w:tc>
          <w:tcPr>
            <w:tcW w:w="7371" w:type="dxa"/>
          </w:tcPr>
          <w:p w14:paraId="16EE4B9E" w14:textId="77777777" w:rsidR="009C22F7" w:rsidRPr="00BE536E" w:rsidRDefault="009C22F7" w:rsidP="00D05311">
            <w:pPr>
              <w:numPr>
                <w:ilvl w:val="0"/>
                <w:numId w:val="38"/>
              </w:numPr>
              <w:ind w:left="81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полного погашения обязательств из кредитных договоров и договоров полученных займов, подтвержденная выпиской с банковского счета, открытого на управляющую компанию Д.У. ПИФ;</w:t>
            </w:r>
          </w:p>
          <w:p w14:paraId="4ED7A2B9" w14:textId="77777777" w:rsidR="009C22F7" w:rsidRPr="00BE536E" w:rsidRDefault="009C22F7" w:rsidP="00D05311">
            <w:pPr>
              <w:numPr>
                <w:ilvl w:val="0"/>
                <w:numId w:val="38"/>
              </w:numPr>
              <w:ind w:left="819"/>
              <w:jc w:val="both"/>
              <w:rPr>
                <w:rFonts w:ascii="Verdana" w:eastAsia="Times New Roman" w:hAnsi="Verdana"/>
                <w:bCs/>
                <w:iCs/>
                <w:color w:val="000000"/>
                <w:sz w:val="20"/>
                <w:szCs w:val="20"/>
                <w:lang w:eastAsia="ru-RU"/>
              </w:rPr>
            </w:pPr>
            <w:r w:rsidRPr="00BE536E">
              <w:rPr>
                <w:rFonts w:ascii="Verdana" w:eastAsia="Times New Roman" w:hAnsi="Verdana"/>
                <w:bCs/>
                <w:color w:val="000000"/>
                <w:sz w:val="20"/>
                <w:szCs w:val="20"/>
                <w:lang w:eastAsia="ru-RU"/>
              </w:rPr>
              <w:t>Дата ликвидации кредитора/заимодавца согласно информации, раскрытой в официальном доступном источнике (в том числе записи в ЕГРЮЛ о ликвидации кредитора/заимодавца).</w:t>
            </w:r>
          </w:p>
        </w:tc>
      </w:tr>
      <w:tr w:rsidR="009C22F7" w:rsidRPr="00BE536E" w14:paraId="2591BF93" w14:textId="77777777" w:rsidTr="00C819D7">
        <w:tc>
          <w:tcPr>
            <w:tcW w:w="2268" w:type="dxa"/>
            <w:shd w:val="clear" w:color="auto" w:fill="A6A6A6"/>
          </w:tcPr>
          <w:p w14:paraId="74BD2B97"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183E42AF"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денежных обязательств из кредитных договоров и договоров займа, полученных </w:t>
            </w:r>
            <w:r w:rsidRPr="00BE536E">
              <w:rPr>
                <w:rFonts w:ascii="Verdana" w:eastAsia="Times New Roman" w:hAnsi="Verdana"/>
                <w:b/>
                <w:bCs/>
                <w:color w:val="000000"/>
                <w:sz w:val="20"/>
                <w:szCs w:val="20"/>
                <w:lang w:eastAsia="ru-RU"/>
              </w:rPr>
              <w:t>в российских рублях</w:t>
            </w:r>
            <w:r w:rsidRPr="00BE536E">
              <w:rPr>
                <w:rFonts w:ascii="Verdana" w:eastAsia="Times New Roman" w:hAnsi="Verdana"/>
                <w:bCs/>
                <w:color w:val="000000"/>
                <w:sz w:val="20"/>
                <w:szCs w:val="20"/>
                <w:lang w:eastAsia="ru-RU"/>
              </w:rPr>
              <w:t>, определяется в сумме всех платежей по договору, которые управляющая компания Д.У. ПИФ должна осуществить в пользу кредитора/заимодавца, а именно - сумму основного долга и накопленные процентные выплаты по состоянию на дату оценки. Все суммы округляются до двух знаков после запятой.</w:t>
            </w:r>
          </w:p>
          <w:p w14:paraId="2790ECBF" w14:textId="77777777" w:rsidR="009C22F7" w:rsidRPr="00BE536E" w:rsidRDefault="009C22F7" w:rsidP="00C819D7">
            <w:pPr>
              <w:jc w:val="both"/>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ССкредита/займа</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ОД</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ПР</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xml:space="preserve"> , </w:t>
            </w:r>
          </w:p>
          <w:p w14:paraId="7DD72590" w14:textId="77777777" w:rsidR="009C22F7" w:rsidRPr="00BE536E" w:rsidRDefault="009C22F7" w:rsidP="00C819D7">
            <w:pPr>
              <w:jc w:val="both"/>
              <w:rPr>
                <w:rFonts w:ascii="Verdana" w:hAnsi="Verdana"/>
                <w:sz w:val="20"/>
              </w:rPr>
            </w:pPr>
            <w:r w:rsidRPr="00BE536E">
              <w:rPr>
                <w:rFonts w:ascii="Verdana" w:eastAsia="Times New Roman" w:hAnsi="Verdana"/>
                <w:bCs/>
                <w:color w:val="000000"/>
                <w:sz w:val="20"/>
                <w:szCs w:val="20"/>
                <w:lang w:eastAsia="ru-RU"/>
              </w:rPr>
              <w:t>где</w:t>
            </w:r>
          </w:p>
          <w:p w14:paraId="41C8FEC5"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ССкредита/займа</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lang w:eastAsia="ru-RU"/>
              </w:rPr>
              <w:t xml:space="preserve"> – справедливая стоимость кредита/займа на дату Т, округленная до 2 знаков после запятой </w:t>
            </w:r>
          </w:p>
          <w:p w14:paraId="56E2B657"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ОД</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lang w:eastAsia="ru-RU"/>
              </w:rPr>
              <w:t xml:space="preserve"> – сумма основного долга по кредиту/займу на дату Т определяется с точностью до 2 знаков после запятой.</w:t>
            </w:r>
          </w:p>
          <w:p w14:paraId="5279FB3A"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ПР</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vertAlign w:val="subscript"/>
                <w:lang w:eastAsia="ru-RU"/>
              </w:rPr>
              <w:t xml:space="preserve"> </w:t>
            </w:r>
            <w:r w:rsidRPr="00BE536E">
              <w:rPr>
                <w:rFonts w:ascii="Verdana" w:eastAsia="Times New Roman" w:hAnsi="Verdana"/>
                <w:bCs/>
                <w:color w:val="000000"/>
                <w:sz w:val="20"/>
                <w:szCs w:val="20"/>
                <w:lang w:eastAsia="ru-RU"/>
              </w:rPr>
              <w:t>– сумма процентов по кредиту/займу к уплате на дату Т. Определяется с точностью до 2 знаков после запятой.</w:t>
            </w:r>
          </w:p>
          <w:p w14:paraId="2CA7AED2"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Т</w:t>
            </w:r>
            <w:r w:rsidRPr="00BE536E">
              <w:rPr>
                <w:rFonts w:ascii="Verdana" w:eastAsia="Times New Roman" w:hAnsi="Verdana"/>
                <w:bCs/>
                <w:color w:val="000000"/>
                <w:sz w:val="20"/>
                <w:szCs w:val="20"/>
                <w:lang w:eastAsia="ru-RU"/>
              </w:rPr>
              <w:t xml:space="preserve"> -  дата определения справедливой стоимости кредита/займа</w:t>
            </w:r>
          </w:p>
          <w:p w14:paraId="37EA8475"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денежных обязательств из кредитных договоров и договоров займа, полученных </w:t>
            </w:r>
            <w:r w:rsidRPr="00BE536E">
              <w:rPr>
                <w:rFonts w:ascii="Verdana" w:eastAsia="Times New Roman" w:hAnsi="Verdana"/>
                <w:b/>
                <w:bCs/>
                <w:color w:val="000000"/>
                <w:sz w:val="20"/>
                <w:szCs w:val="20"/>
                <w:lang w:eastAsia="ru-RU"/>
              </w:rPr>
              <w:t>в иностранной валюте</w:t>
            </w:r>
            <w:r w:rsidRPr="00BE536E">
              <w:rPr>
                <w:rFonts w:ascii="Verdana" w:eastAsia="Times New Roman" w:hAnsi="Verdana"/>
                <w:bCs/>
                <w:color w:val="000000"/>
                <w:sz w:val="20"/>
                <w:szCs w:val="20"/>
                <w:lang w:eastAsia="ru-RU"/>
              </w:rPr>
              <w:t xml:space="preserve">, определяется в сумме всех платежей по договору в валюте </w:t>
            </w:r>
            <w:r w:rsidRPr="00BE536E">
              <w:rPr>
                <w:rFonts w:ascii="Verdana" w:eastAsia="Times New Roman" w:hAnsi="Verdana"/>
                <w:bCs/>
                <w:color w:val="000000"/>
                <w:sz w:val="20"/>
                <w:szCs w:val="20"/>
                <w:lang w:eastAsia="ru-RU"/>
              </w:rPr>
              <w:lastRenderedPageBreak/>
              <w:t>полученного кредита/займа, которые управляющая компания Д.У. ПИФ должна осуществить в пользу кредитора/заимодавца. а именно – в сумме основного долга и процентных выплаты по нему, накопленных по состоянию на дату оценки, и полученная сумма в валюте кредита/займа конвертируется в валюту определения СЧА ПИ</w:t>
            </w:r>
            <w:r w:rsidRPr="00BE536E">
              <w:rPr>
                <w:rFonts w:ascii="Verdana" w:eastAsia="Times New Roman" w:hAnsi="Verdana"/>
                <w:bCs/>
                <w:caps/>
                <w:color w:val="000000"/>
                <w:sz w:val="20"/>
                <w:szCs w:val="20"/>
                <w:lang w:eastAsia="ru-RU"/>
              </w:rPr>
              <w:t>Ф</w:t>
            </w:r>
            <w:r w:rsidRPr="00BE536E">
              <w:rPr>
                <w:rFonts w:ascii="Verdana" w:eastAsia="Times New Roman" w:hAnsi="Verdana"/>
                <w:bCs/>
                <w:color w:val="000000"/>
                <w:sz w:val="20"/>
                <w:szCs w:val="20"/>
                <w:lang w:eastAsia="ru-RU"/>
              </w:rPr>
              <w:t xml:space="preserve"> в соответствии с порядком, установленным Правилами определения СЧА.  И сумма основного долга, и сумма процентов в валюте кредита/займа, а так же полученная сумма в валюте определения СЧА округляются до двух знаков после запятой.</w:t>
            </w:r>
          </w:p>
          <w:p w14:paraId="3AE851FF" w14:textId="77777777" w:rsidR="009C22F7" w:rsidRPr="00BE536E" w:rsidRDefault="009C22F7" w:rsidP="00C819D7">
            <w:pPr>
              <w:jc w:val="both"/>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СС кредита/займа</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lang w:eastAsia="ru-RU"/>
              </w:rPr>
              <w:t>= (ОДвал</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ПРвал</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 Курс</w:t>
            </w:r>
          </w:p>
          <w:p w14:paraId="7D9E8723"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Где</w:t>
            </w:r>
          </w:p>
          <w:p w14:paraId="45B3524F"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СС кредита/займа</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lang w:eastAsia="ru-RU"/>
              </w:rPr>
              <w:t xml:space="preserve"> - справедливая стоимость кредита/займа на дату Т, округленная до 2 знаков после запятой</w:t>
            </w:r>
          </w:p>
          <w:p w14:paraId="0B697FA3"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 xml:space="preserve">Т </w:t>
            </w:r>
            <w:r w:rsidRPr="00BE536E">
              <w:rPr>
                <w:rFonts w:ascii="Verdana" w:eastAsia="Times New Roman" w:hAnsi="Verdana"/>
                <w:bCs/>
                <w:color w:val="000000"/>
                <w:sz w:val="20"/>
                <w:szCs w:val="20"/>
                <w:lang w:eastAsia="ru-RU"/>
              </w:rPr>
              <w:t>-  дата определения справедливой стоимости кредита/займа</w:t>
            </w:r>
          </w:p>
          <w:p w14:paraId="69524902" w14:textId="77777777" w:rsidR="009C22F7" w:rsidRPr="00BE536E" w:rsidRDefault="009C22F7" w:rsidP="00C819D7">
            <w:pPr>
              <w:tabs>
                <w:tab w:val="left" w:pos="993"/>
              </w:tabs>
              <w:jc w:val="both"/>
              <w:rPr>
                <w:rFonts w:ascii="Verdana" w:hAnsi="Verdana"/>
                <w:bCs/>
                <w:color w:val="000000"/>
                <w:sz w:val="20"/>
              </w:rPr>
            </w:pPr>
            <w:r w:rsidRPr="00BE536E">
              <w:rPr>
                <w:rFonts w:ascii="Verdana" w:hAnsi="Verdana"/>
                <w:b/>
                <w:bCs/>
                <w:color w:val="000000"/>
                <w:sz w:val="20"/>
              </w:rPr>
              <w:t>ОДвал</w:t>
            </w:r>
            <w:r w:rsidRPr="00BE536E">
              <w:rPr>
                <w:rFonts w:ascii="Verdana" w:hAnsi="Verdana"/>
                <w:b/>
                <w:bCs/>
                <w:color w:val="000000"/>
                <w:sz w:val="20"/>
                <w:vertAlign w:val="subscript"/>
              </w:rPr>
              <w:t>(</w:t>
            </w:r>
            <w:r w:rsidRPr="00BE536E">
              <w:rPr>
                <w:rFonts w:ascii="Verdana" w:hAnsi="Verdana"/>
                <w:b/>
                <w:bCs/>
                <w:color w:val="000000"/>
                <w:sz w:val="20"/>
                <w:vertAlign w:val="subscript"/>
                <w:lang w:val="en-US"/>
              </w:rPr>
              <w:t>T</w:t>
            </w:r>
            <w:r w:rsidRPr="00BE536E">
              <w:rPr>
                <w:rFonts w:ascii="Verdana" w:hAnsi="Verdana"/>
                <w:b/>
                <w:bCs/>
                <w:color w:val="000000"/>
                <w:sz w:val="20"/>
                <w:vertAlign w:val="subscript"/>
              </w:rPr>
              <w:t>)</w:t>
            </w:r>
            <w:r w:rsidRPr="00BE536E">
              <w:rPr>
                <w:rFonts w:ascii="Verdana" w:hAnsi="Verdana"/>
                <w:bCs/>
                <w:color w:val="000000"/>
                <w:sz w:val="20"/>
                <w:vertAlign w:val="subscript"/>
              </w:rPr>
              <w:t xml:space="preserve"> </w:t>
            </w:r>
            <w:r w:rsidRPr="00BE536E">
              <w:rPr>
                <w:rFonts w:ascii="Verdana" w:hAnsi="Verdana"/>
                <w:bCs/>
                <w:color w:val="000000"/>
                <w:sz w:val="20"/>
              </w:rPr>
              <w:t xml:space="preserve"> - сумма основного долга по кредиту/займу на дату расчета справедливой стоимости в валюте кредита/займа, округленная до двух знаков после запятой</w:t>
            </w:r>
          </w:p>
          <w:p w14:paraId="14C7C5CB" w14:textId="77777777" w:rsidR="009C22F7" w:rsidRPr="00BE536E" w:rsidRDefault="009C22F7" w:rsidP="00C819D7">
            <w:pPr>
              <w:tabs>
                <w:tab w:val="left" w:pos="993"/>
              </w:tabs>
              <w:jc w:val="both"/>
              <w:rPr>
                <w:rFonts w:ascii="Verdana" w:hAnsi="Verdana"/>
                <w:bCs/>
                <w:color w:val="000000"/>
                <w:sz w:val="20"/>
              </w:rPr>
            </w:pPr>
          </w:p>
          <w:p w14:paraId="4EFBBE15" w14:textId="77777777" w:rsidR="009C22F7" w:rsidRPr="00BE536E" w:rsidRDefault="009C22F7" w:rsidP="00C819D7">
            <w:pPr>
              <w:tabs>
                <w:tab w:val="left" w:pos="993"/>
              </w:tabs>
              <w:jc w:val="both"/>
              <w:rPr>
                <w:rFonts w:ascii="Verdana" w:hAnsi="Verdana"/>
                <w:bCs/>
                <w:color w:val="000000"/>
                <w:sz w:val="20"/>
              </w:rPr>
            </w:pPr>
            <w:r w:rsidRPr="00BE536E">
              <w:rPr>
                <w:rFonts w:ascii="Verdana" w:hAnsi="Verdana"/>
                <w:b/>
                <w:bCs/>
                <w:color w:val="000000"/>
                <w:sz w:val="20"/>
              </w:rPr>
              <w:t>Првал</w:t>
            </w:r>
            <w:r w:rsidRPr="00BE536E">
              <w:rPr>
                <w:rFonts w:ascii="Verdana" w:hAnsi="Verdana"/>
                <w:b/>
                <w:bCs/>
                <w:color w:val="000000"/>
                <w:sz w:val="20"/>
                <w:vertAlign w:val="subscript"/>
              </w:rPr>
              <w:t>(</w:t>
            </w:r>
            <w:r w:rsidRPr="00BE536E">
              <w:rPr>
                <w:rFonts w:ascii="Verdana" w:hAnsi="Verdana"/>
                <w:b/>
                <w:bCs/>
                <w:color w:val="000000"/>
                <w:sz w:val="20"/>
                <w:vertAlign w:val="subscript"/>
                <w:lang w:val="en-US"/>
              </w:rPr>
              <w:t>T</w:t>
            </w:r>
            <w:r w:rsidRPr="00BE536E">
              <w:rPr>
                <w:rFonts w:ascii="Verdana" w:hAnsi="Verdana"/>
                <w:b/>
                <w:bCs/>
                <w:color w:val="000000"/>
                <w:sz w:val="20"/>
                <w:vertAlign w:val="subscript"/>
              </w:rPr>
              <w:t>)</w:t>
            </w:r>
            <w:r w:rsidRPr="00BE536E">
              <w:rPr>
                <w:rFonts w:ascii="Verdana" w:hAnsi="Verdana"/>
                <w:bCs/>
                <w:color w:val="000000"/>
                <w:sz w:val="20"/>
              </w:rPr>
              <w:t xml:space="preserve"> - сумма процентов к уплате по кредиту/займу на дату расчета справедливой стоимости в валюте кредита/займа, округленная до двух знаков после запятой</w:t>
            </w:r>
          </w:p>
          <w:p w14:paraId="2AB81475" w14:textId="77777777" w:rsidR="009C22F7" w:rsidRPr="00BE536E" w:rsidRDefault="009C22F7" w:rsidP="00C819D7">
            <w:pPr>
              <w:tabs>
                <w:tab w:val="left" w:pos="993"/>
              </w:tabs>
              <w:jc w:val="both"/>
              <w:rPr>
                <w:rFonts w:ascii="Verdana" w:hAnsi="Verdana"/>
                <w:bCs/>
                <w:color w:val="000000"/>
                <w:sz w:val="20"/>
              </w:rPr>
            </w:pPr>
          </w:p>
          <w:p w14:paraId="72F58466" w14:textId="77777777" w:rsidR="009C22F7" w:rsidRPr="00BE536E" w:rsidRDefault="009C22F7" w:rsidP="00C819D7">
            <w:pPr>
              <w:tabs>
                <w:tab w:val="left" w:pos="993"/>
              </w:tabs>
              <w:jc w:val="both"/>
              <w:rPr>
                <w:rFonts w:ascii="Verdana" w:hAnsi="Verdana"/>
                <w:bCs/>
                <w:color w:val="000000"/>
                <w:sz w:val="20"/>
              </w:rPr>
            </w:pPr>
            <w:r w:rsidRPr="00BE536E">
              <w:rPr>
                <w:rFonts w:ascii="Verdana" w:hAnsi="Verdana"/>
                <w:b/>
                <w:bCs/>
                <w:color w:val="000000"/>
                <w:sz w:val="20"/>
              </w:rPr>
              <w:t>Курс</w:t>
            </w:r>
            <w:r w:rsidRPr="00BE536E">
              <w:rPr>
                <w:rFonts w:ascii="Verdana" w:hAnsi="Verdana"/>
                <w:bCs/>
                <w:color w:val="000000"/>
                <w:sz w:val="20"/>
              </w:rPr>
              <w:t xml:space="preserve"> – курс, по которому производится конвертация стоимостей, выраженных в иностранной валюте, в валюту определения СЧА согласно порядку, указанному в настоящих Правилах определения СЧА.</w:t>
            </w:r>
          </w:p>
          <w:p w14:paraId="4FE52A39" w14:textId="77777777" w:rsidR="009C22F7" w:rsidRPr="00BE536E" w:rsidRDefault="009C22F7" w:rsidP="00C819D7">
            <w:pPr>
              <w:tabs>
                <w:tab w:val="left" w:pos="993"/>
              </w:tabs>
              <w:jc w:val="both"/>
              <w:rPr>
                <w:rFonts w:ascii="Verdana" w:hAnsi="Verdana"/>
                <w:bCs/>
                <w:color w:val="000000"/>
                <w:sz w:val="20"/>
              </w:rPr>
            </w:pPr>
          </w:p>
        </w:tc>
      </w:tr>
    </w:tbl>
    <w:p w14:paraId="636F2F56" w14:textId="37BFDB5A" w:rsidR="009C22F7" w:rsidRPr="00BE536E" w:rsidRDefault="009C22F7" w:rsidP="00951A90">
      <w:pPr>
        <w:spacing w:after="0" w:line="240" w:lineRule="auto"/>
        <w:ind w:left="142"/>
        <w:rPr>
          <w:rFonts w:ascii="Verdana" w:hAnsi="Verdana" w:cs="Arial"/>
          <w:sz w:val="20"/>
          <w:szCs w:val="20"/>
        </w:rPr>
      </w:pPr>
      <w:r w:rsidRPr="00BE536E">
        <w:rPr>
          <w:rFonts w:ascii="Verdana" w:hAnsi="Verdana" w:cs="Arial"/>
          <w:sz w:val="20"/>
          <w:szCs w:val="20"/>
        </w:rPr>
        <w:lastRenderedPageBreak/>
        <w:br w:type="page"/>
      </w:r>
      <w:r w:rsidR="000506A4" w:rsidRPr="00BE536E" w:rsidDel="000506A4">
        <w:rPr>
          <w:rFonts w:ascii="Verdana" w:hAnsi="Verdana" w:cs="Arial"/>
          <w:bCs/>
          <w:iCs/>
          <w:caps/>
          <w:smallCaps/>
          <w:color w:val="943634"/>
          <w:sz w:val="24"/>
        </w:rPr>
        <w:lastRenderedPageBreak/>
        <w:t xml:space="preserve"> </w:t>
      </w:r>
      <w:r w:rsidRPr="00BE536E">
        <w:rPr>
          <w:rFonts w:ascii="Verdana" w:hAnsi="Verdana" w:cs="Arial"/>
          <w:bCs/>
          <w:iCs/>
          <w:caps/>
          <w:smallCaps/>
          <w:color w:val="943634"/>
          <w:sz w:val="24"/>
        </w:rPr>
        <w:t>Приложение 2</w:t>
      </w:r>
      <w:r w:rsidR="00B831EB" w:rsidRPr="00BE536E">
        <w:rPr>
          <w:rFonts w:ascii="Verdana" w:hAnsi="Verdana" w:cs="Arial"/>
          <w:bCs/>
          <w:iCs/>
          <w:caps/>
          <w:smallCaps/>
          <w:color w:val="943634"/>
          <w:sz w:val="24"/>
        </w:rPr>
        <w:t>5</w:t>
      </w:r>
      <w:r w:rsidRPr="00BE536E">
        <w:rPr>
          <w:rFonts w:ascii="Verdana" w:hAnsi="Verdana" w:cs="Arial"/>
          <w:bCs/>
          <w:iCs/>
          <w:caps/>
          <w:smallCaps/>
          <w:color w:val="943634"/>
          <w:sz w:val="24"/>
        </w:rPr>
        <w:t>.</w:t>
      </w:r>
      <w:r w:rsidRPr="00BE536E">
        <w:rPr>
          <w:rFonts w:ascii="Verdana" w:hAnsi="Verdana" w:cs="Arial"/>
          <w:b/>
          <w:bCs/>
          <w:iCs/>
          <w:caps/>
          <w:smallCaps/>
          <w:color w:val="943634"/>
          <w:sz w:val="24"/>
        </w:rPr>
        <w:t xml:space="preserve"> </w:t>
      </w:r>
      <w:r w:rsidR="00951A90" w:rsidRPr="00BE536E">
        <w:rPr>
          <w:rFonts w:ascii="Verdana" w:hAnsi="Verdana" w:cs="Arial"/>
          <w:b/>
          <w:bCs/>
          <w:iCs/>
          <w:caps/>
          <w:smallCaps/>
          <w:color w:val="943634"/>
          <w:sz w:val="24"/>
        </w:rPr>
        <w:t>В</w:t>
      </w:r>
      <w:r w:rsidRPr="00BE536E">
        <w:rPr>
          <w:rFonts w:ascii="Verdana" w:hAnsi="Verdana" w:cs="Arial"/>
          <w:b/>
          <w:bCs/>
          <w:iCs/>
          <w:caps/>
          <w:smallCaps/>
          <w:color w:val="943634"/>
          <w:sz w:val="24"/>
        </w:rPr>
        <w:t>ексел</w:t>
      </w:r>
      <w:r w:rsidR="00951A90" w:rsidRPr="00BE536E">
        <w:rPr>
          <w:rFonts w:ascii="Verdana" w:hAnsi="Verdana" w:cs="Arial"/>
          <w:b/>
          <w:bCs/>
          <w:iCs/>
          <w:caps/>
          <w:smallCaps/>
          <w:color w:val="943634"/>
          <w:sz w:val="24"/>
        </w:rPr>
        <w:t>Я</w:t>
      </w:r>
    </w:p>
    <w:p w14:paraId="3B77D447" w14:textId="77777777" w:rsidR="009C22F7" w:rsidRPr="00BE536E" w:rsidRDefault="009C22F7" w:rsidP="009C22F7">
      <w:pPr>
        <w:spacing w:after="0"/>
        <w:ind w:left="6096"/>
        <w:jc w:val="both"/>
        <w:rPr>
          <w:rFonts w:ascii="Verdana" w:hAnsi="Verdana" w:cs="Arial"/>
          <w:sz w:val="20"/>
          <w:szCs w:val="20"/>
        </w:rPr>
      </w:pPr>
    </w:p>
    <w:p w14:paraId="7F17800E" w14:textId="77777777" w:rsidR="000506A4" w:rsidRPr="00BE536E" w:rsidRDefault="000506A4" w:rsidP="000506A4">
      <w:pPr>
        <w:autoSpaceDN w:val="0"/>
        <w:adjustRightInd w:val="0"/>
        <w:spacing w:line="360" w:lineRule="auto"/>
        <w:ind w:firstLine="709"/>
        <w:jc w:val="center"/>
        <w:rPr>
          <w:b/>
          <w:bCs/>
          <w:color w:val="000000" w:themeColor="text1"/>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166"/>
        <w:gridCol w:w="7654"/>
      </w:tblGrid>
      <w:tr w:rsidR="000506A4" w:rsidRPr="00BE536E" w14:paraId="5A2F9F60" w14:textId="77777777" w:rsidTr="00C819D7">
        <w:trPr>
          <w:trHeight w:val="363"/>
        </w:trPr>
        <w:tc>
          <w:tcPr>
            <w:tcW w:w="1103" w:type="pct"/>
            <w:shd w:val="clear" w:color="auto" w:fill="A6A6A6"/>
          </w:tcPr>
          <w:p w14:paraId="4398983D" w14:textId="77777777" w:rsidR="000506A4" w:rsidRPr="00BE536E" w:rsidRDefault="000506A4" w:rsidP="00C819D7">
            <w:pPr>
              <w:autoSpaceDN w:val="0"/>
              <w:adjustRightInd w:val="0"/>
              <w:jc w:val="both"/>
              <w:rPr>
                <w:b/>
                <w:bCs/>
                <w:color w:val="000000"/>
                <w:sz w:val="24"/>
                <w:szCs w:val="24"/>
                <w:lang w:eastAsia="ru-RU"/>
              </w:rPr>
            </w:pPr>
            <w:r w:rsidRPr="00BE536E">
              <w:rPr>
                <w:b/>
                <w:bCs/>
                <w:color w:val="000000"/>
                <w:sz w:val="24"/>
                <w:szCs w:val="24"/>
                <w:lang w:eastAsia="ru-RU"/>
              </w:rPr>
              <w:t>Виды активов</w:t>
            </w:r>
          </w:p>
        </w:tc>
        <w:tc>
          <w:tcPr>
            <w:tcW w:w="3897" w:type="pct"/>
          </w:tcPr>
          <w:p w14:paraId="50153F71" w14:textId="77777777" w:rsidR="000506A4" w:rsidRPr="00BE536E" w:rsidRDefault="000506A4" w:rsidP="00951A90">
            <w:pPr>
              <w:spacing w:after="0" w:line="240" w:lineRule="auto"/>
              <w:ind w:left="142"/>
              <w:rPr>
                <w:iCs/>
                <w:color w:val="000000"/>
                <w:sz w:val="24"/>
                <w:szCs w:val="24"/>
                <w:lang w:eastAsia="ru-RU"/>
              </w:rPr>
            </w:pPr>
            <w:r w:rsidRPr="00BE536E">
              <w:rPr>
                <w:rFonts w:ascii="Verdana" w:eastAsia="Times New Roman" w:hAnsi="Verdana"/>
                <w:bCs/>
                <w:color w:val="000000"/>
                <w:sz w:val="20"/>
                <w:szCs w:val="20"/>
                <w:lang w:eastAsia="ru-RU"/>
              </w:rPr>
              <w:t>Вексель (простой, переводной, процентный, дисконтный)</w:t>
            </w:r>
          </w:p>
        </w:tc>
      </w:tr>
      <w:tr w:rsidR="000506A4" w:rsidRPr="00BE536E" w14:paraId="0D896558" w14:textId="77777777" w:rsidTr="00C819D7">
        <w:trPr>
          <w:trHeight w:val="595"/>
        </w:trPr>
        <w:tc>
          <w:tcPr>
            <w:tcW w:w="1103" w:type="pct"/>
            <w:shd w:val="clear" w:color="auto" w:fill="A6A6A6"/>
          </w:tcPr>
          <w:p w14:paraId="70021118" w14:textId="77777777" w:rsidR="000506A4" w:rsidRPr="00BE536E" w:rsidRDefault="000506A4" w:rsidP="00C819D7">
            <w:pPr>
              <w:autoSpaceDN w:val="0"/>
              <w:adjustRightInd w:val="0"/>
              <w:jc w:val="both"/>
              <w:rPr>
                <w:b/>
                <w:bCs/>
                <w:color w:val="000000"/>
                <w:sz w:val="24"/>
                <w:szCs w:val="24"/>
                <w:lang w:eastAsia="ru-RU"/>
              </w:rPr>
            </w:pPr>
            <w:r w:rsidRPr="00BE536E">
              <w:rPr>
                <w:b/>
                <w:bCs/>
                <w:color w:val="000000"/>
                <w:sz w:val="24"/>
                <w:szCs w:val="24"/>
                <w:lang w:eastAsia="ru-RU"/>
              </w:rPr>
              <w:t>Критерии признания</w:t>
            </w:r>
          </w:p>
        </w:tc>
        <w:tc>
          <w:tcPr>
            <w:tcW w:w="3897" w:type="pct"/>
          </w:tcPr>
          <w:p w14:paraId="1A56C327" w14:textId="77777777" w:rsidR="000506A4" w:rsidRPr="00BE536E" w:rsidRDefault="000506A4" w:rsidP="00951A90">
            <w:pPr>
              <w:spacing w:after="0" w:line="240" w:lineRule="auto"/>
              <w:ind w:left="142"/>
              <w:rPr>
                <w:color w:val="000000"/>
                <w:sz w:val="24"/>
                <w:szCs w:val="24"/>
                <w:lang w:eastAsia="ru-RU"/>
              </w:rPr>
            </w:pPr>
            <w:r w:rsidRPr="00BE536E">
              <w:rPr>
                <w:rFonts w:ascii="Verdana" w:eastAsia="Times New Roman" w:hAnsi="Verdana"/>
                <w:bCs/>
                <w:color w:val="000000"/>
                <w:sz w:val="20"/>
                <w:szCs w:val="20"/>
                <w:lang w:eastAsia="ru-RU"/>
              </w:rPr>
              <w:t>Д</w:t>
            </w:r>
            <w:r w:rsidRPr="00BE536E">
              <w:rPr>
                <w:rFonts w:ascii="Verdana" w:eastAsia="Times New Roman" w:hAnsi="Verdana" w:hint="eastAsia"/>
                <w:bCs/>
                <w:color w:val="000000"/>
                <w:sz w:val="20"/>
                <w:szCs w:val="20"/>
                <w:lang w:eastAsia="ru-RU"/>
              </w:rPr>
              <w:t>ат</w:t>
            </w:r>
            <w:r w:rsidRPr="00BE536E">
              <w:rPr>
                <w:rFonts w:ascii="Verdana" w:eastAsia="Times New Roman" w:hAnsi="Verdana"/>
                <w:bCs/>
                <w:color w:val="000000"/>
                <w:sz w:val="20"/>
                <w:szCs w:val="20"/>
                <w:lang w:eastAsia="ru-RU"/>
              </w:rPr>
              <w:t xml:space="preserve">а </w:t>
            </w:r>
            <w:r w:rsidRPr="00BE536E">
              <w:rPr>
                <w:rFonts w:ascii="Verdana" w:eastAsia="Times New Roman" w:hAnsi="Verdana" w:hint="eastAsia"/>
                <w:bCs/>
                <w:color w:val="000000"/>
                <w:sz w:val="20"/>
                <w:szCs w:val="20"/>
                <w:lang w:eastAsia="ru-RU"/>
              </w:rPr>
              <w:t>приема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ценной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бумаги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ПИФ</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определенной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соответствии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условиями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договора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подтвержденной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актом</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приема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передачи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ценных</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бумаг</w:t>
            </w:r>
            <w:r w:rsidRPr="00BE536E">
              <w:rPr>
                <w:rFonts w:ascii="Verdana" w:eastAsia="Times New Roman" w:hAnsi="Verdana"/>
                <w:bCs/>
                <w:color w:val="000000"/>
                <w:sz w:val="20"/>
                <w:szCs w:val="20"/>
                <w:lang w:eastAsia="ru-RU"/>
              </w:rPr>
              <w:t>;</w:t>
            </w:r>
          </w:p>
        </w:tc>
      </w:tr>
      <w:tr w:rsidR="000506A4" w:rsidRPr="00BE536E" w14:paraId="2C541020" w14:textId="77777777" w:rsidTr="00C819D7">
        <w:trPr>
          <w:trHeight w:val="2236"/>
        </w:trPr>
        <w:tc>
          <w:tcPr>
            <w:tcW w:w="1103" w:type="pct"/>
            <w:shd w:val="clear" w:color="auto" w:fill="A6A6A6"/>
          </w:tcPr>
          <w:p w14:paraId="6B01A0F5" w14:textId="77777777" w:rsidR="000506A4" w:rsidRPr="00BE536E" w:rsidRDefault="000506A4" w:rsidP="00C819D7">
            <w:pPr>
              <w:autoSpaceDN w:val="0"/>
              <w:adjustRightInd w:val="0"/>
              <w:jc w:val="both"/>
              <w:rPr>
                <w:b/>
                <w:color w:val="000000"/>
                <w:sz w:val="24"/>
                <w:szCs w:val="24"/>
                <w:lang w:eastAsia="ru-RU"/>
              </w:rPr>
            </w:pPr>
            <w:r w:rsidRPr="00BE536E">
              <w:rPr>
                <w:b/>
                <w:color w:val="000000"/>
                <w:sz w:val="24"/>
                <w:szCs w:val="24"/>
                <w:lang w:eastAsia="ru-RU"/>
              </w:rPr>
              <w:t>Критерии прекращения признания</w:t>
            </w:r>
          </w:p>
        </w:tc>
        <w:tc>
          <w:tcPr>
            <w:tcW w:w="3897" w:type="pct"/>
          </w:tcPr>
          <w:p w14:paraId="3888B57D"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color w:val="000000"/>
                <w:sz w:val="24"/>
                <w:szCs w:val="24"/>
                <w:lang w:eastAsia="ru-RU"/>
              </w:rPr>
              <w:t xml:space="preserve">- </w:t>
            </w:r>
            <w:r w:rsidRPr="00BE536E">
              <w:rPr>
                <w:rFonts w:ascii="Verdana" w:eastAsia="Times New Roman" w:hAnsi="Verdana"/>
                <w:bCs/>
                <w:color w:val="000000"/>
                <w:sz w:val="20"/>
                <w:szCs w:val="20"/>
                <w:lang w:eastAsia="ru-RU"/>
              </w:rPr>
              <w:t>Д</w:t>
            </w:r>
            <w:r w:rsidRPr="00BE536E">
              <w:rPr>
                <w:rFonts w:ascii="Verdana" w:eastAsia="Times New Roman" w:hAnsi="Verdana" w:hint="eastAsia"/>
                <w:bCs/>
                <w:color w:val="000000"/>
                <w:sz w:val="20"/>
                <w:szCs w:val="20"/>
                <w:lang w:eastAsia="ru-RU"/>
              </w:rPr>
              <w:t>ат</w:t>
            </w:r>
            <w:r w:rsidRPr="00BE536E">
              <w:rPr>
                <w:rFonts w:ascii="Verdana" w:eastAsia="Times New Roman" w:hAnsi="Verdana"/>
                <w:bCs/>
                <w:color w:val="000000"/>
                <w:sz w:val="20"/>
                <w:szCs w:val="20"/>
                <w:lang w:eastAsia="ru-RU"/>
              </w:rPr>
              <w:t>а</w:t>
            </w:r>
            <w:r w:rsidRPr="00BE536E">
              <w:rPr>
                <w:rFonts w:ascii="Verdana" w:eastAsia="Times New Roman" w:hAnsi="Verdana" w:hint="eastAsia"/>
                <w:bCs/>
                <w:color w:val="000000"/>
                <w:sz w:val="20"/>
                <w:szCs w:val="20"/>
                <w:lang w:eastAsia="ru-RU"/>
              </w:rPr>
              <w:t xml:space="preserve"> передачи ценной бумаги ПИФ</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определенной в соответствии с условиями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договора и подтвержденной актом приема передачи ценных бумаг</w:t>
            </w:r>
            <w:r w:rsidRPr="00BE536E">
              <w:rPr>
                <w:rFonts w:ascii="Verdana" w:eastAsia="Times New Roman" w:hAnsi="Verdana"/>
                <w:bCs/>
                <w:color w:val="000000"/>
                <w:sz w:val="20"/>
                <w:szCs w:val="20"/>
                <w:lang w:eastAsia="ru-RU"/>
              </w:rPr>
              <w:t>;</w:t>
            </w:r>
          </w:p>
          <w:p w14:paraId="6FA75832"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w:t>
            </w:r>
            <w:r w:rsidRPr="00BE536E">
              <w:rPr>
                <w:rFonts w:ascii="Verdana" w:eastAsia="Times New Roman" w:hAnsi="Verdana" w:hint="eastAsia"/>
                <w:bCs/>
                <w:color w:val="000000"/>
                <w:sz w:val="20"/>
                <w:szCs w:val="20"/>
                <w:lang w:eastAsia="ru-RU"/>
              </w:rPr>
              <w:t>ат</w:t>
            </w:r>
            <w:r w:rsidRPr="00BE536E">
              <w:rPr>
                <w:rFonts w:ascii="Verdana" w:eastAsia="Times New Roman" w:hAnsi="Verdana"/>
                <w:bCs/>
                <w:color w:val="000000"/>
                <w:sz w:val="20"/>
                <w:szCs w:val="20"/>
                <w:lang w:eastAsia="ru-RU"/>
              </w:rPr>
              <w:t>а</w:t>
            </w:r>
            <w:r w:rsidRPr="00BE536E">
              <w:rPr>
                <w:rFonts w:ascii="Verdana" w:eastAsia="Times New Roman" w:hAnsi="Verdana" w:hint="eastAsia"/>
                <w:bCs/>
                <w:color w:val="000000"/>
                <w:sz w:val="20"/>
                <w:szCs w:val="20"/>
                <w:lang w:eastAsia="ru-RU"/>
              </w:rPr>
              <w:t xml:space="preserve"> полного погашения векселя</w:t>
            </w:r>
            <w:r w:rsidRPr="00BE536E">
              <w:rPr>
                <w:rFonts w:ascii="Verdana" w:eastAsia="Times New Roman" w:hAnsi="Verdana"/>
                <w:bCs/>
                <w:color w:val="000000"/>
                <w:sz w:val="20"/>
                <w:szCs w:val="20"/>
                <w:lang w:eastAsia="ru-RU"/>
              </w:rPr>
              <w:t xml:space="preserve"> (переход в статус дебиторской задолженности);</w:t>
            </w:r>
          </w:p>
          <w:p w14:paraId="01EF6390"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Дата ликвидации векселедателя</w:t>
            </w:r>
            <w:r w:rsidRPr="00BE536E">
              <w:rPr>
                <w:rFonts w:ascii="Verdana" w:eastAsia="Times New Roman" w:hAnsi="Verdana"/>
                <w:bCs/>
                <w:color w:val="000000"/>
                <w:sz w:val="20"/>
                <w:szCs w:val="20"/>
                <w:lang w:eastAsia="ru-RU"/>
              </w:rPr>
              <w:t>, согласно информации, раскрытой в официальном доступном источнике (в том числе записи в ЕГРЮЛ о ликвидации векселедателя)</w:t>
            </w:r>
          </w:p>
          <w:p w14:paraId="57CB4648" w14:textId="77777777" w:rsidR="000506A4" w:rsidRPr="00BE536E" w:rsidRDefault="000506A4" w:rsidP="00C819D7">
            <w:pPr>
              <w:autoSpaceDN w:val="0"/>
              <w:adjustRightInd w:val="0"/>
              <w:jc w:val="both"/>
              <w:rPr>
                <w:color w:val="000000"/>
                <w:sz w:val="24"/>
                <w:szCs w:val="24"/>
                <w:lang w:eastAsia="ru-RU"/>
              </w:rPr>
            </w:pPr>
          </w:p>
        </w:tc>
      </w:tr>
      <w:tr w:rsidR="000506A4" w:rsidRPr="00BE536E" w14:paraId="0A3DE4BE" w14:textId="77777777" w:rsidTr="00C819D7">
        <w:trPr>
          <w:trHeight w:val="541"/>
        </w:trPr>
        <w:tc>
          <w:tcPr>
            <w:tcW w:w="1103" w:type="pct"/>
            <w:shd w:val="clear" w:color="auto" w:fill="A6A6A6"/>
          </w:tcPr>
          <w:p w14:paraId="2FFB6F8C" w14:textId="77777777" w:rsidR="000506A4" w:rsidRPr="00BE536E" w:rsidRDefault="000506A4" w:rsidP="00C819D7">
            <w:pPr>
              <w:autoSpaceDN w:val="0"/>
              <w:adjustRightInd w:val="0"/>
              <w:jc w:val="both"/>
              <w:rPr>
                <w:b/>
                <w:color w:val="000000"/>
                <w:sz w:val="24"/>
                <w:szCs w:val="24"/>
                <w:lang w:eastAsia="ru-RU"/>
              </w:rPr>
            </w:pPr>
            <w:r w:rsidRPr="00BE536E">
              <w:rPr>
                <w:b/>
                <w:color w:val="000000"/>
                <w:sz w:val="24"/>
                <w:szCs w:val="24"/>
                <w:lang w:eastAsia="ru-RU"/>
              </w:rPr>
              <w:t>Справедливая стоимость</w:t>
            </w:r>
          </w:p>
        </w:tc>
        <w:tc>
          <w:tcPr>
            <w:tcW w:w="3897" w:type="pct"/>
          </w:tcPr>
          <w:p w14:paraId="5BF3121E"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hint="eastAsia"/>
                <w:bCs/>
                <w:color w:val="000000"/>
                <w:sz w:val="20"/>
                <w:szCs w:val="20"/>
                <w:lang w:eastAsia="ru-RU"/>
              </w:rPr>
              <w:t>Справедливая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стоимость</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векселей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определяется</w:t>
            </w:r>
            <w:r w:rsidRPr="00BE536E">
              <w:rPr>
                <w:rFonts w:ascii="Verdana" w:eastAsia="Times New Roman" w:hAnsi="Verdana"/>
                <w:bCs/>
                <w:color w:val="000000"/>
                <w:sz w:val="20"/>
                <w:szCs w:val="20"/>
                <w:lang w:eastAsia="ru-RU"/>
              </w:rPr>
              <w:t xml:space="preserve"> потоков соответствии с </w:t>
            </w:r>
            <w:r w:rsidRPr="00BE536E">
              <w:rPr>
                <w:rFonts w:ascii="Verdana" w:eastAsia="Times New Roman" w:hAnsi="Verdana" w:hint="eastAsia"/>
                <w:bCs/>
                <w:color w:val="000000"/>
                <w:sz w:val="20"/>
                <w:szCs w:val="20"/>
                <w:lang w:eastAsia="ru-RU"/>
              </w:rPr>
              <w:t>Приложение</w:t>
            </w:r>
            <w:r w:rsidRPr="00BE536E">
              <w:rPr>
                <w:rFonts w:ascii="Verdana" w:eastAsia="Times New Roman" w:hAnsi="Verdana"/>
                <w:bCs/>
                <w:color w:val="000000"/>
                <w:sz w:val="20"/>
                <w:szCs w:val="20"/>
                <w:lang w:eastAsia="ru-RU"/>
              </w:rPr>
              <w:t xml:space="preserve">м 5; </w:t>
            </w:r>
          </w:p>
          <w:p w14:paraId="170AF4F3"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 xml:space="preserve"> Для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векселей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сроком</w:t>
            </w:r>
            <w:r w:rsidRPr="00BE536E">
              <w:rPr>
                <w:rFonts w:ascii="Verdana" w:eastAsia="Times New Roman" w:hAnsi="Verdana"/>
                <w:bCs/>
                <w:color w:val="000000"/>
                <w:sz w:val="20"/>
                <w:szCs w:val="20"/>
                <w:lang w:eastAsia="ru-RU"/>
              </w:rPr>
              <w:t xml:space="preserve"> погашения «</w:t>
            </w:r>
            <w:r w:rsidRPr="00BE536E">
              <w:rPr>
                <w:rFonts w:ascii="Verdana" w:eastAsia="Times New Roman" w:hAnsi="Verdana" w:hint="eastAsia"/>
                <w:bCs/>
                <w:color w:val="000000"/>
                <w:sz w:val="20"/>
                <w:szCs w:val="20"/>
                <w:lang w:eastAsia="ru-RU"/>
              </w:rPr>
              <w:t>По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предъявлению</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но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не</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ранее</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указанной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даты</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для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составления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денежного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потока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модели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оценки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приведённой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стоимости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будущих</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денежных</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потоков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денежного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потока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считается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указанная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минимальная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которую</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возможно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поступление</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денежных</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средств</w:t>
            </w:r>
            <w:r w:rsidRPr="00BE536E">
              <w:rPr>
                <w:rFonts w:ascii="Verdana" w:eastAsia="Times New Roman" w:hAnsi="Verdana"/>
                <w:bCs/>
                <w:color w:val="000000"/>
                <w:sz w:val="20"/>
                <w:szCs w:val="20"/>
                <w:lang w:eastAsia="ru-RU"/>
              </w:rPr>
              <w:t>);</w:t>
            </w:r>
          </w:p>
          <w:p w14:paraId="1A63BEE9"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После</w:t>
            </w:r>
            <w:r w:rsidRPr="00BE536E">
              <w:rPr>
                <w:rFonts w:ascii="Verdana" w:eastAsia="Times New Roman" w:hAnsi="Verdana"/>
                <w:bCs/>
                <w:color w:val="000000"/>
                <w:sz w:val="20"/>
                <w:szCs w:val="20"/>
                <w:lang w:eastAsia="ru-RU"/>
              </w:rPr>
              <w:t xml:space="preserve"> указанной (минимальной) </w:t>
            </w:r>
            <w:r w:rsidRPr="00BE536E">
              <w:rPr>
                <w:rFonts w:ascii="Verdana" w:eastAsia="Times New Roman" w:hAnsi="Verdana" w:hint="eastAsia"/>
                <w:bCs/>
                <w:color w:val="000000"/>
                <w:sz w:val="20"/>
                <w:szCs w:val="20"/>
                <w:lang w:eastAsia="ru-RU"/>
              </w:rPr>
              <w:t>даты</w:t>
            </w:r>
            <w:r w:rsidRPr="00BE536E">
              <w:rPr>
                <w:rFonts w:ascii="Verdana" w:eastAsia="Times New Roman" w:hAnsi="Verdana"/>
                <w:bCs/>
                <w:color w:val="000000"/>
                <w:sz w:val="20"/>
                <w:szCs w:val="20"/>
                <w:lang w:eastAsia="ru-RU"/>
              </w:rPr>
              <w:t xml:space="preserve">, если вексель не был предъявлен к погашению, для составления денежного потока модели оценки по приведённой стоимости будущих денежных потоков датой денежного потока считается дата через один </w:t>
            </w:r>
            <w:r w:rsidRPr="00BE536E">
              <w:rPr>
                <w:rFonts w:ascii="Verdana" w:eastAsia="Times New Roman" w:hAnsi="Verdana" w:hint="eastAsia"/>
                <w:bCs/>
                <w:color w:val="000000"/>
                <w:sz w:val="20"/>
                <w:szCs w:val="20"/>
                <w:lang w:eastAsia="ru-RU"/>
              </w:rPr>
              <w:t>год</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соответствии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вексельн</w:t>
            </w:r>
            <w:r w:rsidRPr="00BE536E">
              <w:rPr>
                <w:rFonts w:ascii="Verdana" w:eastAsia="Times New Roman" w:hAnsi="Verdana"/>
                <w:bCs/>
                <w:color w:val="000000"/>
                <w:sz w:val="20"/>
                <w:szCs w:val="20"/>
                <w:lang w:eastAsia="ru-RU"/>
              </w:rPr>
              <w:t xml:space="preserve">ым </w:t>
            </w:r>
            <w:r w:rsidRPr="00BE536E">
              <w:rPr>
                <w:rFonts w:ascii="Verdana" w:eastAsia="Times New Roman" w:hAnsi="Verdana" w:hint="eastAsia"/>
                <w:bCs/>
                <w:color w:val="000000"/>
                <w:sz w:val="20"/>
                <w:szCs w:val="20"/>
                <w:lang w:eastAsia="ru-RU"/>
              </w:rPr>
              <w:t>законодательством</w:t>
            </w:r>
            <w:r w:rsidRPr="00BE536E">
              <w:rPr>
                <w:rFonts w:ascii="Verdana" w:eastAsia="Times New Roman" w:hAnsi="Verdana"/>
                <w:bCs/>
                <w:color w:val="000000"/>
                <w:sz w:val="20"/>
                <w:szCs w:val="20"/>
                <w:lang w:eastAsia="ru-RU"/>
              </w:rPr>
              <w:t>);</w:t>
            </w:r>
          </w:p>
          <w:p w14:paraId="7F9F9FB2"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если и через один год п</w:t>
            </w:r>
            <w:r w:rsidRPr="00BE536E">
              <w:rPr>
                <w:rFonts w:ascii="Verdana" w:eastAsia="Times New Roman" w:hAnsi="Verdana" w:hint="eastAsia"/>
                <w:bCs/>
                <w:color w:val="000000"/>
                <w:sz w:val="20"/>
                <w:szCs w:val="20"/>
                <w:lang w:eastAsia="ru-RU"/>
              </w:rPr>
              <w:t>осле</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указанной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даты</w:t>
            </w:r>
            <w:r w:rsidRPr="00BE536E">
              <w:rPr>
                <w:rFonts w:ascii="Verdana" w:eastAsia="Times New Roman" w:hAnsi="Verdana"/>
                <w:bCs/>
                <w:color w:val="000000"/>
                <w:sz w:val="20"/>
                <w:szCs w:val="20"/>
                <w:lang w:eastAsia="ru-RU"/>
              </w:rPr>
              <w:t xml:space="preserve"> вексель не был предъявлен к погашению </w:t>
            </w:r>
            <w:r w:rsidRPr="00BE536E">
              <w:rPr>
                <w:rFonts w:ascii="Verdana" w:eastAsia="Times New Roman" w:hAnsi="Verdana" w:hint="eastAsia"/>
                <w:bCs/>
                <w:color w:val="000000"/>
                <w:sz w:val="20"/>
                <w:szCs w:val="20"/>
                <w:lang w:eastAsia="ru-RU"/>
              </w:rPr>
              <w:t>справедливая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стоимость</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определяется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на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основании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отчёта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оценщика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составленного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не</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позднее</w:t>
            </w:r>
            <w:r w:rsidRPr="00BE536E">
              <w:rPr>
                <w:rFonts w:ascii="Verdana" w:eastAsia="Times New Roman" w:hAnsi="Verdana"/>
                <w:bCs/>
                <w:color w:val="000000"/>
                <w:sz w:val="20"/>
                <w:szCs w:val="20"/>
                <w:lang w:eastAsia="ru-RU"/>
              </w:rPr>
              <w:t xml:space="preserve"> 6 </w:t>
            </w:r>
            <w:r w:rsidRPr="00BE536E">
              <w:rPr>
                <w:rFonts w:ascii="Verdana" w:eastAsia="Times New Roman" w:hAnsi="Verdana" w:hint="eastAsia"/>
                <w:bCs/>
                <w:color w:val="000000"/>
                <w:sz w:val="20"/>
                <w:szCs w:val="20"/>
                <w:lang w:eastAsia="ru-RU"/>
              </w:rPr>
              <w:t>месяцев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даты</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определения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СЧА</w:t>
            </w:r>
            <w:r w:rsidRPr="00BE536E">
              <w:rPr>
                <w:rFonts w:ascii="Verdana" w:eastAsia="Times New Roman" w:hAnsi="Verdana"/>
                <w:bCs/>
                <w:color w:val="000000"/>
                <w:sz w:val="20"/>
                <w:szCs w:val="20"/>
                <w:lang w:eastAsia="ru-RU"/>
              </w:rPr>
              <w:t xml:space="preserve">. При этом </w:t>
            </w:r>
            <w:r w:rsidRPr="00BE536E">
              <w:rPr>
                <w:rFonts w:ascii="Verdana" w:eastAsia="Times New Roman" w:hAnsi="Verdana" w:hint="eastAsia"/>
                <w:bCs/>
                <w:color w:val="000000"/>
                <w:sz w:val="20"/>
                <w:szCs w:val="20"/>
                <w:lang w:eastAsia="ru-RU"/>
              </w:rPr>
              <w:t>справедливая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стоимость</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векселя</w:t>
            </w:r>
            <w:r w:rsidRPr="00BE536E">
              <w:rPr>
                <w:rFonts w:ascii="Verdana" w:eastAsia="Times New Roman" w:hAnsi="Verdana"/>
                <w:bCs/>
                <w:color w:val="000000"/>
                <w:sz w:val="20"/>
                <w:szCs w:val="20"/>
                <w:lang w:eastAsia="ru-RU"/>
              </w:rPr>
              <w:t xml:space="preserve"> может определяться на основании отчета оценщика в течение срока равного трем годам (</w:t>
            </w:r>
            <w:r w:rsidRPr="00BE536E">
              <w:rPr>
                <w:rFonts w:ascii="Verdana" w:eastAsia="Times New Roman" w:hAnsi="Verdana" w:hint="eastAsia"/>
                <w:bCs/>
                <w:color w:val="000000"/>
                <w:sz w:val="20"/>
                <w:szCs w:val="20"/>
                <w:lang w:eastAsia="ru-RU"/>
              </w:rPr>
              <w:t>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соответствии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вексельн</w:t>
            </w:r>
            <w:r w:rsidRPr="00BE536E">
              <w:rPr>
                <w:rFonts w:ascii="Verdana" w:eastAsia="Times New Roman" w:hAnsi="Verdana"/>
                <w:bCs/>
                <w:color w:val="000000"/>
                <w:sz w:val="20"/>
                <w:szCs w:val="20"/>
                <w:lang w:eastAsia="ru-RU"/>
              </w:rPr>
              <w:t xml:space="preserve">ым </w:t>
            </w:r>
            <w:r w:rsidRPr="00BE536E">
              <w:rPr>
                <w:rFonts w:ascii="Verdana" w:eastAsia="Times New Roman" w:hAnsi="Verdana" w:hint="eastAsia"/>
                <w:bCs/>
                <w:color w:val="000000"/>
                <w:sz w:val="20"/>
                <w:szCs w:val="20"/>
                <w:lang w:eastAsia="ru-RU"/>
              </w:rPr>
              <w:t>законодательством</w:t>
            </w:r>
            <w:r w:rsidRPr="00BE536E">
              <w:rPr>
                <w:rFonts w:ascii="Verdana" w:eastAsia="Times New Roman" w:hAnsi="Verdana"/>
                <w:bCs/>
                <w:color w:val="000000"/>
                <w:sz w:val="20"/>
                <w:szCs w:val="20"/>
                <w:lang w:eastAsia="ru-RU"/>
              </w:rPr>
              <w:t>);</w:t>
            </w:r>
          </w:p>
          <w:p w14:paraId="29BE7291"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Справедливая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стоимость</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дебиторской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задолженность</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возникшей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результате</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предъявления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к</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погашени</w:t>
            </w:r>
            <w:r w:rsidRPr="00BE536E">
              <w:rPr>
                <w:rFonts w:ascii="Verdana" w:eastAsia="Times New Roman" w:hAnsi="Verdana"/>
                <w:bCs/>
                <w:color w:val="000000"/>
                <w:sz w:val="20"/>
                <w:szCs w:val="20"/>
                <w:lang w:eastAsia="ru-RU"/>
              </w:rPr>
              <w:t xml:space="preserve">ю в срок или возникшей в результате истечения срока предъявления векселя к погашению равного трем годам, </w:t>
            </w:r>
            <w:r w:rsidRPr="00BE536E">
              <w:rPr>
                <w:rFonts w:ascii="Verdana" w:eastAsia="Times New Roman" w:hAnsi="Verdana" w:hint="eastAsia"/>
                <w:bCs/>
                <w:color w:val="000000"/>
                <w:sz w:val="20"/>
                <w:szCs w:val="20"/>
                <w:lang w:eastAsia="ru-RU"/>
              </w:rPr>
              <w:t>определяется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соответствии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w:t>
            </w:r>
            <w:r w:rsidRPr="00BE536E">
              <w:rPr>
                <w:rFonts w:ascii="Verdana" w:eastAsia="Times New Roman" w:hAnsi="Verdana"/>
                <w:bCs/>
                <w:color w:val="000000"/>
                <w:sz w:val="20"/>
                <w:szCs w:val="20"/>
                <w:lang w:eastAsia="ru-RU"/>
              </w:rPr>
              <w:t xml:space="preserve"> Приложением 5.</w:t>
            </w:r>
          </w:p>
        </w:tc>
      </w:tr>
    </w:tbl>
    <w:p w14:paraId="037D0C1E" w14:textId="77777777" w:rsidR="000506A4" w:rsidRPr="00BE536E" w:rsidRDefault="000506A4" w:rsidP="000506A4">
      <w:pPr>
        <w:autoSpaceDN w:val="0"/>
        <w:adjustRightInd w:val="0"/>
        <w:spacing w:line="360" w:lineRule="auto"/>
        <w:ind w:firstLine="709"/>
        <w:jc w:val="right"/>
        <w:rPr>
          <w:b/>
          <w:color w:val="000000"/>
          <w:sz w:val="24"/>
          <w:szCs w:val="24"/>
          <w:lang w:eastAsia="ru-RU"/>
        </w:rPr>
      </w:pPr>
    </w:p>
    <w:p w14:paraId="6F468C20" w14:textId="77777777" w:rsidR="009C22F7" w:rsidRPr="00BE536E" w:rsidRDefault="009C22F7" w:rsidP="009C22F7">
      <w:pPr>
        <w:spacing w:after="0"/>
        <w:ind w:left="6096"/>
        <w:jc w:val="both"/>
        <w:rPr>
          <w:rFonts w:ascii="Verdana" w:hAnsi="Verdana" w:cs="Arial"/>
          <w:b/>
          <w:sz w:val="20"/>
          <w:szCs w:val="20"/>
        </w:rPr>
      </w:pPr>
    </w:p>
    <w:p w14:paraId="007A8E6E" w14:textId="77777777" w:rsidR="009C22F7" w:rsidRPr="00BE536E" w:rsidRDefault="009C22F7" w:rsidP="009C22F7">
      <w:pPr>
        <w:spacing w:after="0"/>
        <w:jc w:val="right"/>
        <w:rPr>
          <w:rFonts w:ascii="Verdana" w:hAnsi="Verdana" w:cs="Arial"/>
          <w:b/>
        </w:rPr>
        <w:sectPr w:rsidR="009C22F7" w:rsidRPr="00BE536E" w:rsidSect="003C31C1">
          <w:pgSz w:w="12240" w:h="15840"/>
          <w:pgMar w:top="1134" w:right="709" w:bottom="992" w:left="1701" w:header="720" w:footer="720" w:gutter="0"/>
          <w:cols w:space="720"/>
          <w:noEndnote/>
          <w:docGrid w:linePitch="360"/>
        </w:sectPr>
      </w:pPr>
    </w:p>
    <w:p w14:paraId="78B6CD87" w14:textId="564ECD8E"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Приложение 2</w:t>
      </w:r>
      <w:r w:rsidR="00B831EB" w:rsidRPr="00BE536E">
        <w:rPr>
          <w:rFonts w:ascii="Verdana" w:hAnsi="Verdana" w:cs="Arial"/>
          <w:b w:val="0"/>
          <w:bCs w:val="0"/>
          <w:iCs w:val="0"/>
          <w:caps/>
          <w:smallCaps w:val="0"/>
          <w:color w:val="943634"/>
          <w:sz w:val="24"/>
        </w:rPr>
        <w:t>6</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Доли в уставных капиталах обществ с ограниченной ответственностью</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9C22F7" w:rsidRPr="00BE536E" w14:paraId="5D3B18C5" w14:textId="77777777" w:rsidTr="00C819D7">
        <w:trPr>
          <w:trHeight w:val="363"/>
        </w:trPr>
        <w:tc>
          <w:tcPr>
            <w:tcW w:w="2126" w:type="dxa"/>
            <w:shd w:val="clear" w:color="auto" w:fill="A6A6A6"/>
          </w:tcPr>
          <w:p w14:paraId="17F79D65"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513" w:type="dxa"/>
          </w:tcPr>
          <w:p w14:paraId="115DF98C"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Доли </w:t>
            </w:r>
            <w:r w:rsidRPr="00BE536E">
              <w:rPr>
                <w:rFonts w:ascii="Verdana" w:hAnsi="Verdana" w:cs="Verdana"/>
                <w:sz w:val="20"/>
                <w:szCs w:val="20"/>
              </w:rPr>
              <w:t>в уставных капиталах российских обществ с ограниченной ответственностью (далее – Общество)</w:t>
            </w:r>
          </w:p>
        </w:tc>
      </w:tr>
      <w:tr w:rsidR="009C22F7" w:rsidRPr="00BE536E" w14:paraId="359179A8" w14:textId="77777777" w:rsidTr="00C819D7">
        <w:trPr>
          <w:trHeight w:val="595"/>
        </w:trPr>
        <w:tc>
          <w:tcPr>
            <w:tcW w:w="2126" w:type="dxa"/>
            <w:shd w:val="clear" w:color="auto" w:fill="A6A6A6"/>
          </w:tcPr>
          <w:p w14:paraId="3F321E26"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513" w:type="dxa"/>
          </w:tcPr>
          <w:p w14:paraId="00BB76D1"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случае приобретения долей при учреждении Общества - наиболее поздняя из дат: </w:t>
            </w:r>
          </w:p>
          <w:p w14:paraId="32C9EFB1" w14:textId="77777777" w:rsidR="009C22F7" w:rsidRPr="00BE536E" w:rsidRDefault="009C22F7" w:rsidP="00D05311">
            <w:pPr>
              <w:numPr>
                <w:ilvl w:val="0"/>
                <w:numId w:val="81"/>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или</w:t>
            </w:r>
          </w:p>
          <w:p w14:paraId="07FD22E3" w14:textId="77777777" w:rsidR="009C22F7" w:rsidRPr="00BE536E" w:rsidRDefault="009C22F7" w:rsidP="00D05311">
            <w:pPr>
              <w:numPr>
                <w:ilvl w:val="0"/>
                <w:numId w:val="81"/>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оплаты уставного капитала.</w:t>
            </w:r>
          </w:p>
          <w:p w14:paraId="15300551" w14:textId="77777777" w:rsidR="009C22F7" w:rsidRPr="00BE536E" w:rsidRDefault="009C22F7" w:rsidP="00C819D7">
            <w:pPr>
              <w:spacing w:after="0" w:line="240" w:lineRule="auto"/>
              <w:ind w:left="81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w:t>
            </w:r>
          </w:p>
          <w:p w14:paraId="6E48C203"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7847DD84"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Увеличение номинальной стоимости доли без изменения количественного значения доли признается датой, указанной в выписке из ЕГРЮЛ.</w:t>
            </w:r>
          </w:p>
          <w:p w14:paraId="780A1340"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3D9E45F9" w14:textId="77777777" w:rsidTr="00C819D7">
        <w:trPr>
          <w:trHeight w:val="845"/>
        </w:trPr>
        <w:tc>
          <w:tcPr>
            <w:tcW w:w="2126" w:type="dxa"/>
            <w:shd w:val="clear" w:color="auto" w:fill="A6A6A6"/>
          </w:tcPr>
          <w:p w14:paraId="28F5022A"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513" w:type="dxa"/>
          </w:tcPr>
          <w:p w14:paraId="5A60E0D2" w14:textId="77777777" w:rsidR="009C22F7" w:rsidRPr="00BE536E" w:rsidRDefault="009C22F7" w:rsidP="00C819D7">
            <w:pPr>
              <w:autoSpaceDE w:val="0"/>
              <w:autoSpaceDN w:val="0"/>
              <w:adjustRightInd w:val="0"/>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случае, если доля или часть доли переходит к обществу, то прекращение признания осуществляется с даты:</w:t>
            </w:r>
          </w:p>
          <w:p w14:paraId="519DB0C7" w14:textId="77777777" w:rsidR="009C22F7" w:rsidRPr="00BE536E" w:rsidRDefault="009C22F7" w:rsidP="00D05311">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перехода права собственности на долю, подтвержденная выпиской из ЕГРЮЛ;</w:t>
            </w:r>
          </w:p>
          <w:p w14:paraId="2993AFFD" w14:textId="77777777" w:rsidR="009C22F7" w:rsidRPr="00BE536E" w:rsidRDefault="009C22F7" w:rsidP="00D05311">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получения обществом требования участника общества о ее приобретении;</w:t>
            </w:r>
          </w:p>
          <w:p w14:paraId="21D353C1" w14:textId="77777777" w:rsidR="009C22F7" w:rsidRPr="00BE536E" w:rsidRDefault="009C22F7" w:rsidP="00D05311">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получения обществом заявления участника общества о выходе из общества, если право на выход из общества участника предусмотрено уставом общества;</w:t>
            </w:r>
          </w:p>
          <w:p w14:paraId="4340DA98" w14:textId="77777777" w:rsidR="009C22F7" w:rsidRPr="00BE536E" w:rsidRDefault="009C22F7" w:rsidP="00D05311">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истечения срока оплаты доли в уставном капитале общества;</w:t>
            </w:r>
          </w:p>
          <w:p w14:paraId="2A0EDE00" w14:textId="77777777" w:rsidR="009C22F7" w:rsidRPr="00BE536E" w:rsidRDefault="009C22F7" w:rsidP="00D05311">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иные даты, предусмотренные действующим законодательством.</w:t>
            </w:r>
          </w:p>
          <w:p w14:paraId="1767653E"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74A3BAAF"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483DD07F"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Уменьшение номинальной стоимости доли без изменения количественного значения доли признается датой, указанной в выписке из ЕГРЮЛ.</w:t>
            </w:r>
          </w:p>
          <w:p w14:paraId="06747AF9"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52EC44CB" w14:textId="77777777" w:rsidTr="00C819D7">
        <w:tc>
          <w:tcPr>
            <w:tcW w:w="2126" w:type="dxa"/>
            <w:shd w:val="clear" w:color="auto" w:fill="A6A6A6"/>
          </w:tcPr>
          <w:p w14:paraId="7BEF3F0A"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513" w:type="dxa"/>
          </w:tcPr>
          <w:p w14:paraId="24525DD1"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Справедливая стоимость доли </w:t>
            </w:r>
            <w:r w:rsidRPr="00BE536E">
              <w:rPr>
                <w:rFonts w:ascii="Verdana" w:hAnsi="Verdana" w:cs="Verdana"/>
                <w:sz w:val="20"/>
                <w:szCs w:val="20"/>
              </w:rPr>
              <w:t>в уставных капиталах российских обществ с ограниченной ответственностью</w:t>
            </w:r>
            <w:r w:rsidRPr="00BE536E">
              <w:rPr>
                <w:rFonts w:ascii="Verdana" w:eastAsia="Times New Roman" w:hAnsi="Verdana"/>
                <w:bCs/>
                <w:color w:val="000000"/>
                <w:sz w:val="20"/>
                <w:szCs w:val="20"/>
                <w:lang w:eastAsia="ru-RU"/>
              </w:rPr>
              <w:t xml:space="preserve"> определяется </w:t>
            </w:r>
            <w:r w:rsidRPr="00BE536E">
              <w:rPr>
                <w:rFonts w:ascii="Verdana" w:hAnsi="Verdana"/>
                <w:sz w:val="20"/>
                <w:szCs w:val="20"/>
              </w:rPr>
              <w:t>на основании отчета оценщика.</w:t>
            </w:r>
          </w:p>
          <w:p w14:paraId="06E5E615" w14:textId="77777777" w:rsidR="009C22F7" w:rsidRPr="00BE536E" w:rsidRDefault="009C22F7" w:rsidP="00C819D7">
            <w:pPr>
              <w:spacing w:after="0" w:line="240" w:lineRule="auto"/>
              <w:jc w:val="both"/>
              <w:rPr>
                <w:rFonts w:ascii="Verdana" w:hAnsi="Verdana"/>
                <w:sz w:val="20"/>
                <w:szCs w:val="20"/>
              </w:rPr>
            </w:pPr>
          </w:p>
          <w:p w14:paraId="3CB86E39"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доли, определяемая по отчету оценщика, при наличии признаков обесценения, определяется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00274EE4"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в части требований к отчету оценщика.</w:t>
            </w:r>
          </w:p>
          <w:p w14:paraId="0A695C33"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0702BBB1"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Pr="00BE536E">
              <w:rPr>
                <w:rFonts w:ascii="Verdana" w:hAnsi="Verdana"/>
                <w:sz w:val="20"/>
                <w:szCs w:val="20"/>
              </w:rPr>
              <w:t>.</w:t>
            </w:r>
          </w:p>
          <w:p w14:paraId="0EE71A65"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78332350" w14:textId="77777777" w:rsidTr="00C819D7">
        <w:tc>
          <w:tcPr>
            <w:tcW w:w="2126" w:type="dxa"/>
            <w:shd w:val="clear" w:color="auto" w:fill="A6A6A6"/>
          </w:tcPr>
          <w:p w14:paraId="4D18111D"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lastRenderedPageBreak/>
              <w:t>Дата и события, приводящие к обесценению</w:t>
            </w:r>
          </w:p>
        </w:tc>
        <w:tc>
          <w:tcPr>
            <w:tcW w:w="7513" w:type="dxa"/>
          </w:tcPr>
          <w:p w14:paraId="2F55588F"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sz w:val="20"/>
                  <w:szCs w:val="20"/>
                </w:rPr>
                <w:t>Приложении 5</w:t>
              </w:r>
            </w:hyperlink>
            <w:r w:rsidRPr="00BE536E">
              <w:rPr>
                <w:rFonts w:ascii="Verdana" w:hAnsi="Verdana"/>
                <w:sz w:val="20"/>
                <w:szCs w:val="20"/>
              </w:rPr>
              <w:t>.</w:t>
            </w:r>
          </w:p>
        </w:tc>
      </w:tr>
    </w:tbl>
    <w:p w14:paraId="5CDEAB32" w14:textId="77777777" w:rsidR="009C22F7" w:rsidRPr="00BE536E" w:rsidRDefault="009C22F7" w:rsidP="009C22F7">
      <w:pPr>
        <w:spacing w:after="0"/>
        <w:ind w:left="6096"/>
        <w:jc w:val="both"/>
        <w:rPr>
          <w:rFonts w:ascii="Verdana" w:hAnsi="Verdana" w:cs="Arial"/>
          <w:sz w:val="20"/>
          <w:szCs w:val="20"/>
        </w:rPr>
      </w:pPr>
    </w:p>
    <w:p w14:paraId="655A962C" w14:textId="77777777" w:rsidR="009C22F7" w:rsidRPr="00BE536E" w:rsidRDefault="009C22F7" w:rsidP="009C22F7">
      <w:pPr>
        <w:spacing w:after="0"/>
        <w:ind w:left="6096"/>
        <w:jc w:val="both"/>
        <w:rPr>
          <w:rFonts w:ascii="Verdana" w:hAnsi="Verdana" w:cs="Arial"/>
          <w:sz w:val="20"/>
          <w:szCs w:val="20"/>
        </w:rPr>
      </w:pPr>
    </w:p>
    <w:p w14:paraId="5F3FFD3C" w14:textId="77777777" w:rsidR="00305ACB" w:rsidRPr="00BE536E" w:rsidRDefault="00305ACB" w:rsidP="009C22F7">
      <w:pPr>
        <w:spacing w:after="0"/>
        <w:ind w:left="6096"/>
        <w:jc w:val="both"/>
        <w:rPr>
          <w:rFonts w:ascii="Verdana" w:hAnsi="Verdana" w:cs="Arial"/>
          <w:sz w:val="20"/>
          <w:szCs w:val="20"/>
        </w:rPr>
      </w:pPr>
    </w:p>
    <w:p w14:paraId="34E2CC2D" w14:textId="77777777" w:rsidR="00305ACB" w:rsidRPr="00BE536E" w:rsidRDefault="00305ACB" w:rsidP="009C22F7">
      <w:pPr>
        <w:spacing w:after="0"/>
        <w:ind w:left="6096"/>
        <w:jc w:val="both"/>
        <w:rPr>
          <w:rFonts w:ascii="Verdana" w:hAnsi="Verdana" w:cs="Arial"/>
          <w:sz w:val="20"/>
          <w:szCs w:val="20"/>
        </w:rPr>
      </w:pPr>
    </w:p>
    <w:p w14:paraId="7BBFAAF8" w14:textId="77777777" w:rsidR="00305ACB" w:rsidRPr="00BE536E" w:rsidRDefault="00305ACB" w:rsidP="009C22F7">
      <w:pPr>
        <w:spacing w:after="0"/>
        <w:ind w:left="6096"/>
        <w:jc w:val="both"/>
        <w:rPr>
          <w:rFonts w:ascii="Verdana" w:hAnsi="Verdana" w:cs="Arial"/>
          <w:sz w:val="20"/>
          <w:szCs w:val="20"/>
        </w:rPr>
      </w:pPr>
    </w:p>
    <w:p w14:paraId="030ED705" w14:textId="77777777" w:rsidR="00305ACB" w:rsidRPr="00BE536E" w:rsidRDefault="00305ACB" w:rsidP="009C22F7">
      <w:pPr>
        <w:spacing w:after="0"/>
        <w:ind w:left="6096"/>
        <w:jc w:val="both"/>
        <w:rPr>
          <w:rFonts w:ascii="Verdana" w:hAnsi="Verdana" w:cs="Arial"/>
          <w:sz w:val="20"/>
          <w:szCs w:val="20"/>
        </w:rPr>
      </w:pPr>
    </w:p>
    <w:p w14:paraId="6B5B9615" w14:textId="77777777" w:rsidR="00305ACB" w:rsidRPr="00BE536E" w:rsidRDefault="00305ACB" w:rsidP="009C22F7">
      <w:pPr>
        <w:spacing w:after="0"/>
        <w:ind w:left="6096"/>
        <w:jc w:val="both"/>
        <w:rPr>
          <w:rFonts w:ascii="Verdana" w:hAnsi="Verdana" w:cs="Arial"/>
          <w:sz w:val="20"/>
          <w:szCs w:val="20"/>
        </w:rPr>
      </w:pPr>
    </w:p>
    <w:p w14:paraId="33999779" w14:textId="77777777" w:rsidR="00305ACB" w:rsidRPr="00BE536E" w:rsidRDefault="00305ACB" w:rsidP="009C22F7">
      <w:pPr>
        <w:spacing w:after="0"/>
        <w:ind w:left="6096"/>
        <w:jc w:val="both"/>
        <w:rPr>
          <w:rFonts w:ascii="Verdana" w:hAnsi="Verdana" w:cs="Arial"/>
          <w:sz w:val="20"/>
          <w:szCs w:val="20"/>
        </w:rPr>
      </w:pPr>
    </w:p>
    <w:p w14:paraId="2654C078" w14:textId="77777777" w:rsidR="00305ACB" w:rsidRPr="00BE536E" w:rsidRDefault="00305ACB" w:rsidP="009C22F7">
      <w:pPr>
        <w:spacing w:after="0"/>
        <w:ind w:left="6096"/>
        <w:jc w:val="both"/>
        <w:rPr>
          <w:rFonts w:ascii="Verdana" w:hAnsi="Verdana" w:cs="Arial"/>
          <w:sz w:val="20"/>
          <w:szCs w:val="20"/>
        </w:rPr>
      </w:pPr>
    </w:p>
    <w:p w14:paraId="1C688853" w14:textId="77777777" w:rsidR="00305ACB" w:rsidRPr="00BE536E" w:rsidRDefault="00305ACB" w:rsidP="009C22F7">
      <w:pPr>
        <w:spacing w:after="0"/>
        <w:ind w:left="6096"/>
        <w:jc w:val="both"/>
        <w:rPr>
          <w:rFonts w:ascii="Verdana" w:hAnsi="Verdana" w:cs="Arial"/>
          <w:sz w:val="20"/>
          <w:szCs w:val="20"/>
        </w:rPr>
      </w:pPr>
    </w:p>
    <w:p w14:paraId="71428BA0" w14:textId="77777777" w:rsidR="00305ACB" w:rsidRPr="00BE536E" w:rsidRDefault="00305ACB" w:rsidP="009C22F7">
      <w:pPr>
        <w:spacing w:after="0"/>
        <w:ind w:left="6096"/>
        <w:jc w:val="both"/>
        <w:rPr>
          <w:rFonts w:ascii="Verdana" w:hAnsi="Verdana" w:cs="Arial"/>
          <w:sz w:val="20"/>
          <w:szCs w:val="20"/>
        </w:rPr>
      </w:pPr>
    </w:p>
    <w:p w14:paraId="20F3712A" w14:textId="77777777" w:rsidR="00305ACB" w:rsidRPr="00BE536E" w:rsidRDefault="00305ACB" w:rsidP="009C22F7">
      <w:pPr>
        <w:spacing w:after="0"/>
        <w:ind w:left="6096"/>
        <w:jc w:val="both"/>
        <w:rPr>
          <w:rFonts w:ascii="Verdana" w:hAnsi="Verdana" w:cs="Arial"/>
          <w:sz w:val="20"/>
          <w:szCs w:val="20"/>
        </w:rPr>
      </w:pPr>
    </w:p>
    <w:p w14:paraId="36490B6F" w14:textId="77777777" w:rsidR="00305ACB" w:rsidRPr="00BE536E" w:rsidRDefault="00305ACB" w:rsidP="009C22F7">
      <w:pPr>
        <w:spacing w:after="0"/>
        <w:ind w:left="6096"/>
        <w:jc w:val="both"/>
        <w:rPr>
          <w:rFonts w:ascii="Verdana" w:hAnsi="Verdana" w:cs="Arial"/>
          <w:sz w:val="20"/>
          <w:szCs w:val="20"/>
        </w:rPr>
      </w:pPr>
    </w:p>
    <w:p w14:paraId="2B487D7D" w14:textId="77777777" w:rsidR="00305ACB" w:rsidRPr="00BE536E" w:rsidRDefault="00305ACB" w:rsidP="009C22F7">
      <w:pPr>
        <w:spacing w:after="0"/>
        <w:ind w:left="6096"/>
        <w:jc w:val="both"/>
        <w:rPr>
          <w:rFonts w:ascii="Verdana" w:hAnsi="Verdana" w:cs="Arial"/>
          <w:sz w:val="20"/>
          <w:szCs w:val="20"/>
        </w:rPr>
      </w:pPr>
    </w:p>
    <w:p w14:paraId="1702E7EC" w14:textId="77777777" w:rsidR="00305ACB" w:rsidRPr="00BE536E" w:rsidRDefault="00305ACB" w:rsidP="009C22F7">
      <w:pPr>
        <w:spacing w:after="0"/>
        <w:ind w:left="6096"/>
        <w:jc w:val="both"/>
        <w:rPr>
          <w:rFonts w:ascii="Verdana" w:hAnsi="Verdana" w:cs="Arial"/>
          <w:sz w:val="20"/>
          <w:szCs w:val="20"/>
        </w:rPr>
      </w:pPr>
    </w:p>
    <w:p w14:paraId="65881575" w14:textId="77777777" w:rsidR="00305ACB" w:rsidRPr="00BE536E" w:rsidRDefault="00305ACB" w:rsidP="009C22F7">
      <w:pPr>
        <w:spacing w:after="0"/>
        <w:ind w:left="6096"/>
        <w:jc w:val="both"/>
        <w:rPr>
          <w:rFonts w:ascii="Verdana" w:hAnsi="Verdana" w:cs="Arial"/>
          <w:sz w:val="20"/>
          <w:szCs w:val="20"/>
        </w:rPr>
      </w:pPr>
    </w:p>
    <w:p w14:paraId="30AC29B5" w14:textId="77777777" w:rsidR="00305ACB" w:rsidRPr="00BE536E" w:rsidRDefault="00305ACB" w:rsidP="009C22F7">
      <w:pPr>
        <w:spacing w:after="0"/>
        <w:ind w:left="6096"/>
        <w:jc w:val="both"/>
        <w:rPr>
          <w:rFonts w:ascii="Verdana" w:hAnsi="Verdana" w:cs="Arial"/>
          <w:sz w:val="20"/>
          <w:szCs w:val="20"/>
        </w:rPr>
      </w:pPr>
    </w:p>
    <w:p w14:paraId="57C8D66D" w14:textId="77777777" w:rsidR="00305ACB" w:rsidRPr="00BE536E" w:rsidRDefault="00305ACB" w:rsidP="009C22F7">
      <w:pPr>
        <w:spacing w:after="0"/>
        <w:ind w:left="6096"/>
        <w:jc w:val="both"/>
        <w:rPr>
          <w:rFonts w:ascii="Verdana" w:hAnsi="Verdana" w:cs="Arial"/>
          <w:sz w:val="20"/>
          <w:szCs w:val="20"/>
        </w:rPr>
      </w:pPr>
    </w:p>
    <w:p w14:paraId="4ED6ECFD" w14:textId="77777777" w:rsidR="00305ACB" w:rsidRPr="00BE536E" w:rsidRDefault="00305ACB" w:rsidP="009C22F7">
      <w:pPr>
        <w:spacing w:after="0"/>
        <w:ind w:left="6096"/>
        <w:jc w:val="both"/>
        <w:rPr>
          <w:rFonts w:ascii="Verdana" w:hAnsi="Verdana" w:cs="Arial"/>
          <w:sz w:val="20"/>
          <w:szCs w:val="20"/>
        </w:rPr>
      </w:pPr>
    </w:p>
    <w:p w14:paraId="264E7423" w14:textId="77777777" w:rsidR="00305ACB" w:rsidRPr="00BE536E" w:rsidRDefault="00305ACB" w:rsidP="009C22F7">
      <w:pPr>
        <w:spacing w:after="0"/>
        <w:ind w:left="6096"/>
        <w:jc w:val="both"/>
        <w:rPr>
          <w:rFonts w:ascii="Verdana" w:hAnsi="Verdana" w:cs="Arial"/>
          <w:sz w:val="20"/>
          <w:szCs w:val="20"/>
        </w:rPr>
      </w:pPr>
    </w:p>
    <w:p w14:paraId="2ACA2E78" w14:textId="77777777" w:rsidR="00305ACB" w:rsidRPr="00BE536E" w:rsidRDefault="00305ACB" w:rsidP="009C22F7">
      <w:pPr>
        <w:spacing w:after="0"/>
        <w:ind w:left="6096"/>
        <w:jc w:val="both"/>
        <w:rPr>
          <w:rFonts w:ascii="Verdana" w:hAnsi="Verdana" w:cs="Arial"/>
          <w:sz w:val="20"/>
          <w:szCs w:val="20"/>
        </w:rPr>
      </w:pPr>
    </w:p>
    <w:p w14:paraId="29657D93" w14:textId="77777777" w:rsidR="00305ACB" w:rsidRPr="00BE536E" w:rsidRDefault="00305ACB" w:rsidP="009C22F7">
      <w:pPr>
        <w:spacing w:after="0"/>
        <w:ind w:left="6096"/>
        <w:jc w:val="both"/>
        <w:rPr>
          <w:rFonts w:ascii="Verdana" w:hAnsi="Verdana" w:cs="Arial"/>
          <w:sz w:val="20"/>
          <w:szCs w:val="20"/>
        </w:rPr>
      </w:pPr>
    </w:p>
    <w:p w14:paraId="358F2AEC" w14:textId="77777777" w:rsidR="00305ACB" w:rsidRPr="00BE536E" w:rsidRDefault="00305ACB" w:rsidP="009C22F7">
      <w:pPr>
        <w:spacing w:after="0"/>
        <w:ind w:left="6096"/>
        <w:jc w:val="both"/>
        <w:rPr>
          <w:rFonts w:ascii="Verdana" w:hAnsi="Verdana" w:cs="Arial"/>
          <w:sz w:val="20"/>
          <w:szCs w:val="20"/>
        </w:rPr>
      </w:pPr>
    </w:p>
    <w:p w14:paraId="506E7441" w14:textId="77777777" w:rsidR="00305ACB" w:rsidRPr="00BE536E" w:rsidRDefault="00305ACB" w:rsidP="009C22F7">
      <w:pPr>
        <w:spacing w:after="0"/>
        <w:ind w:left="6096"/>
        <w:jc w:val="both"/>
        <w:rPr>
          <w:rFonts w:ascii="Verdana" w:hAnsi="Verdana" w:cs="Arial"/>
          <w:sz w:val="20"/>
          <w:szCs w:val="20"/>
        </w:rPr>
      </w:pPr>
    </w:p>
    <w:p w14:paraId="386EB742" w14:textId="77777777" w:rsidR="00305ACB" w:rsidRPr="00BE536E" w:rsidRDefault="00305ACB" w:rsidP="009C22F7">
      <w:pPr>
        <w:spacing w:after="0"/>
        <w:ind w:left="6096"/>
        <w:jc w:val="both"/>
        <w:rPr>
          <w:rFonts w:ascii="Verdana" w:hAnsi="Verdana" w:cs="Arial"/>
          <w:sz w:val="20"/>
          <w:szCs w:val="20"/>
        </w:rPr>
      </w:pPr>
    </w:p>
    <w:p w14:paraId="0A792A0F" w14:textId="77777777" w:rsidR="00305ACB" w:rsidRPr="00BE536E" w:rsidRDefault="00305ACB" w:rsidP="009C22F7">
      <w:pPr>
        <w:spacing w:after="0"/>
        <w:ind w:left="6096"/>
        <w:jc w:val="both"/>
        <w:rPr>
          <w:rFonts w:ascii="Verdana" w:hAnsi="Verdana" w:cs="Arial"/>
          <w:sz w:val="20"/>
          <w:szCs w:val="20"/>
        </w:rPr>
      </w:pPr>
    </w:p>
    <w:p w14:paraId="654F3513" w14:textId="77777777" w:rsidR="00305ACB" w:rsidRPr="00BE536E" w:rsidRDefault="00305ACB" w:rsidP="009C22F7">
      <w:pPr>
        <w:spacing w:after="0"/>
        <w:ind w:left="6096"/>
        <w:jc w:val="both"/>
        <w:rPr>
          <w:rFonts w:ascii="Verdana" w:hAnsi="Verdana" w:cs="Arial"/>
          <w:sz w:val="20"/>
          <w:szCs w:val="20"/>
        </w:rPr>
      </w:pPr>
    </w:p>
    <w:p w14:paraId="2AB3F983" w14:textId="77777777" w:rsidR="00305ACB" w:rsidRPr="00BE536E" w:rsidRDefault="00305ACB" w:rsidP="009C22F7">
      <w:pPr>
        <w:spacing w:after="0"/>
        <w:ind w:left="6096"/>
        <w:jc w:val="both"/>
        <w:rPr>
          <w:rFonts w:ascii="Verdana" w:hAnsi="Verdana" w:cs="Arial"/>
          <w:sz w:val="20"/>
          <w:szCs w:val="20"/>
        </w:rPr>
      </w:pPr>
    </w:p>
    <w:p w14:paraId="5577E7BC" w14:textId="77777777" w:rsidR="00305ACB" w:rsidRPr="00BE536E" w:rsidRDefault="00305ACB" w:rsidP="009C22F7">
      <w:pPr>
        <w:spacing w:after="0"/>
        <w:ind w:left="6096"/>
        <w:jc w:val="both"/>
        <w:rPr>
          <w:rFonts w:ascii="Verdana" w:hAnsi="Verdana" w:cs="Arial"/>
          <w:sz w:val="20"/>
          <w:szCs w:val="20"/>
        </w:rPr>
      </w:pPr>
    </w:p>
    <w:p w14:paraId="74020CA2" w14:textId="77777777" w:rsidR="00305ACB" w:rsidRPr="00BE536E" w:rsidRDefault="00305ACB" w:rsidP="009C22F7">
      <w:pPr>
        <w:spacing w:after="0"/>
        <w:ind w:left="6096"/>
        <w:jc w:val="both"/>
        <w:rPr>
          <w:rFonts w:ascii="Verdana" w:hAnsi="Verdana" w:cs="Arial"/>
          <w:sz w:val="20"/>
          <w:szCs w:val="20"/>
        </w:rPr>
      </w:pPr>
    </w:p>
    <w:p w14:paraId="0DAB8DED" w14:textId="77777777" w:rsidR="00305ACB" w:rsidRPr="00BE536E" w:rsidRDefault="00305ACB" w:rsidP="009C22F7">
      <w:pPr>
        <w:spacing w:after="0"/>
        <w:ind w:left="6096"/>
        <w:jc w:val="both"/>
        <w:rPr>
          <w:rFonts w:ascii="Verdana" w:hAnsi="Verdana" w:cs="Arial"/>
          <w:sz w:val="20"/>
          <w:szCs w:val="20"/>
        </w:rPr>
      </w:pPr>
    </w:p>
    <w:p w14:paraId="0970864E" w14:textId="77777777" w:rsidR="00305ACB" w:rsidRPr="00BE536E" w:rsidRDefault="00305ACB" w:rsidP="009C22F7">
      <w:pPr>
        <w:spacing w:after="0"/>
        <w:ind w:left="6096"/>
        <w:jc w:val="both"/>
        <w:rPr>
          <w:rFonts w:ascii="Verdana" w:hAnsi="Verdana" w:cs="Arial"/>
          <w:sz w:val="20"/>
          <w:szCs w:val="20"/>
        </w:rPr>
      </w:pPr>
    </w:p>
    <w:p w14:paraId="3CDD2392" w14:textId="77777777" w:rsidR="00305ACB" w:rsidRPr="00BE536E" w:rsidRDefault="00305ACB" w:rsidP="009C22F7">
      <w:pPr>
        <w:spacing w:after="0"/>
        <w:ind w:left="6096"/>
        <w:jc w:val="both"/>
        <w:rPr>
          <w:rFonts w:ascii="Verdana" w:hAnsi="Verdana" w:cs="Arial"/>
          <w:sz w:val="20"/>
          <w:szCs w:val="20"/>
        </w:rPr>
      </w:pPr>
    </w:p>
    <w:p w14:paraId="0AAA6B96" w14:textId="77777777" w:rsidR="00305ACB" w:rsidRPr="00BE536E" w:rsidRDefault="00305ACB" w:rsidP="009C22F7">
      <w:pPr>
        <w:spacing w:after="0"/>
        <w:ind w:left="6096"/>
        <w:jc w:val="both"/>
        <w:rPr>
          <w:rFonts w:ascii="Verdana" w:hAnsi="Verdana" w:cs="Arial"/>
          <w:sz w:val="20"/>
          <w:szCs w:val="20"/>
        </w:rPr>
      </w:pPr>
    </w:p>
    <w:p w14:paraId="46EE2146" w14:textId="77777777" w:rsidR="00305ACB" w:rsidRPr="00BE536E" w:rsidRDefault="00305ACB" w:rsidP="009C22F7">
      <w:pPr>
        <w:spacing w:after="0"/>
        <w:ind w:left="6096"/>
        <w:jc w:val="both"/>
        <w:rPr>
          <w:rFonts w:ascii="Verdana" w:hAnsi="Verdana" w:cs="Arial"/>
          <w:sz w:val="20"/>
          <w:szCs w:val="20"/>
        </w:rPr>
      </w:pPr>
    </w:p>
    <w:p w14:paraId="387F54B8" w14:textId="77777777" w:rsidR="00305ACB" w:rsidRPr="00BE536E" w:rsidRDefault="00305ACB" w:rsidP="009C22F7">
      <w:pPr>
        <w:spacing w:after="0"/>
        <w:ind w:left="6096"/>
        <w:jc w:val="both"/>
        <w:rPr>
          <w:rFonts w:ascii="Verdana" w:hAnsi="Verdana" w:cs="Arial"/>
          <w:sz w:val="20"/>
          <w:szCs w:val="20"/>
        </w:rPr>
      </w:pPr>
    </w:p>
    <w:p w14:paraId="07E1EBF7" w14:textId="77777777" w:rsidR="00305ACB" w:rsidRPr="00BE536E" w:rsidRDefault="00305ACB" w:rsidP="009C22F7">
      <w:pPr>
        <w:spacing w:after="0"/>
        <w:ind w:left="6096"/>
        <w:jc w:val="both"/>
        <w:rPr>
          <w:rFonts w:ascii="Verdana" w:hAnsi="Verdana" w:cs="Arial"/>
          <w:sz w:val="20"/>
          <w:szCs w:val="20"/>
        </w:rPr>
      </w:pPr>
    </w:p>
    <w:p w14:paraId="01262366" w14:textId="77777777" w:rsidR="009C22F7" w:rsidRPr="00BE536E" w:rsidRDefault="009C22F7" w:rsidP="009C22F7">
      <w:pPr>
        <w:spacing w:after="0"/>
        <w:ind w:left="6096"/>
        <w:jc w:val="both"/>
        <w:rPr>
          <w:rFonts w:ascii="Verdana" w:hAnsi="Verdana" w:cs="Arial"/>
          <w:sz w:val="20"/>
          <w:szCs w:val="20"/>
        </w:rPr>
      </w:pPr>
    </w:p>
    <w:p w14:paraId="2F28AA2A" w14:textId="77777777" w:rsidR="009C22F7" w:rsidRPr="00BE536E" w:rsidRDefault="009C22F7" w:rsidP="009C22F7">
      <w:pPr>
        <w:spacing w:after="0"/>
        <w:ind w:left="6096"/>
        <w:jc w:val="both"/>
        <w:rPr>
          <w:rFonts w:ascii="Verdana" w:hAnsi="Verdana" w:cs="Arial"/>
          <w:sz w:val="20"/>
          <w:szCs w:val="20"/>
        </w:rPr>
      </w:pPr>
    </w:p>
    <w:p w14:paraId="4614EA3F" w14:textId="77777777" w:rsidR="009C22F7" w:rsidRPr="00BE536E" w:rsidRDefault="009C22F7" w:rsidP="009C22F7">
      <w:pPr>
        <w:spacing w:after="0"/>
        <w:ind w:left="6096"/>
        <w:jc w:val="both"/>
        <w:rPr>
          <w:rFonts w:ascii="Verdana" w:hAnsi="Verdana" w:cs="Arial"/>
          <w:sz w:val="20"/>
          <w:szCs w:val="20"/>
        </w:rPr>
      </w:pPr>
    </w:p>
    <w:p w14:paraId="2B6B41D3" w14:textId="77777777" w:rsidR="009C22F7" w:rsidRPr="00BE536E" w:rsidRDefault="009C22F7" w:rsidP="009C22F7">
      <w:pPr>
        <w:spacing w:after="0"/>
        <w:ind w:left="6096"/>
        <w:jc w:val="both"/>
        <w:rPr>
          <w:rFonts w:ascii="Verdana" w:hAnsi="Verdana" w:cs="Arial"/>
          <w:sz w:val="20"/>
          <w:szCs w:val="20"/>
        </w:rPr>
      </w:pPr>
    </w:p>
    <w:p w14:paraId="4CC91005" w14:textId="77777777" w:rsidR="009C22F7" w:rsidRPr="00BE536E" w:rsidRDefault="009C22F7" w:rsidP="009C22F7">
      <w:pPr>
        <w:spacing w:after="0"/>
        <w:ind w:left="6096"/>
        <w:jc w:val="both"/>
        <w:rPr>
          <w:rFonts w:ascii="Verdana" w:hAnsi="Verdana" w:cs="Arial"/>
          <w:sz w:val="20"/>
          <w:szCs w:val="20"/>
        </w:rPr>
      </w:pPr>
    </w:p>
    <w:p w14:paraId="130722A2" w14:textId="77777777" w:rsidR="009C22F7" w:rsidRPr="00BE536E" w:rsidRDefault="009C22F7" w:rsidP="007838E0">
      <w:pPr>
        <w:spacing w:after="0"/>
        <w:rPr>
          <w:rFonts w:ascii="Verdana" w:hAnsi="Verdana" w:cs="Arial"/>
          <w:b/>
        </w:rPr>
        <w:sectPr w:rsidR="009C22F7" w:rsidRPr="00BE536E" w:rsidSect="003C31C1">
          <w:pgSz w:w="12240" w:h="15840"/>
          <w:pgMar w:top="1134" w:right="709" w:bottom="992" w:left="1701" w:header="720" w:footer="720" w:gutter="0"/>
          <w:cols w:space="720"/>
          <w:noEndnote/>
          <w:docGrid w:linePitch="360"/>
        </w:sectPr>
      </w:pPr>
    </w:p>
    <w:p w14:paraId="13C84E7C" w14:textId="2830B3D4" w:rsidR="009C22F7" w:rsidRPr="00BE536E" w:rsidRDefault="009C22F7" w:rsidP="007838E0">
      <w:pPr>
        <w:pStyle w:val="10"/>
        <w:numPr>
          <w:ilvl w:val="0"/>
          <w:numId w:val="0"/>
        </w:numPr>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4873E0"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7</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Проектная документация для строительства или реконструкции объекта недвижимости</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9C22F7" w:rsidRPr="00BE536E" w14:paraId="2AF4116D" w14:textId="77777777" w:rsidTr="00C819D7">
        <w:trPr>
          <w:trHeight w:val="363"/>
        </w:trPr>
        <w:tc>
          <w:tcPr>
            <w:tcW w:w="2126" w:type="dxa"/>
            <w:shd w:val="clear" w:color="auto" w:fill="A6A6A6"/>
          </w:tcPr>
          <w:p w14:paraId="0677B647"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513" w:type="dxa"/>
          </w:tcPr>
          <w:p w14:paraId="3998835B"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Проектная документация для строительства или реконструкции объекта недвижимости</w:t>
            </w:r>
          </w:p>
        </w:tc>
      </w:tr>
      <w:tr w:rsidR="009C22F7" w:rsidRPr="00BE536E" w14:paraId="1E38F867" w14:textId="77777777" w:rsidTr="00C819D7">
        <w:trPr>
          <w:trHeight w:val="595"/>
        </w:trPr>
        <w:tc>
          <w:tcPr>
            <w:tcW w:w="2126" w:type="dxa"/>
            <w:shd w:val="clear" w:color="auto" w:fill="A6A6A6"/>
          </w:tcPr>
          <w:p w14:paraId="704D547E"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513" w:type="dxa"/>
          </w:tcPr>
          <w:p w14:paraId="61AF5411" w14:textId="77777777" w:rsidR="009C22F7" w:rsidRPr="00BE536E" w:rsidRDefault="009C22F7" w:rsidP="00C819D7">
            <w:pPr>
              <w:spacing w:after="0" w:line="240" w:lineRule="auto"/>
              <w:ind w:left="15"/>
              <w:jc w:val="both"/>
              <w:rPr>
                <w:rFonts w:ascii="Verdana" w:hAnsi="Verdana"/>
                <w:sz w:val="20"/>
                <w:szCs w:val="20"/>
              </w:rPr>
            </w:pPr>
            <w:r w:rsidRPr="00BE536E">
              <w:rPr>
                <w:rFonts w:ascii="Verdana" w:eastAsia="Times New Roman" w:hAnsi="Verdana"/>
                <w:bCs/>
                <w:color w:val="000000"/>
                <w:sz w:val="20"/>
                <w:szCs w:val="20"/>
                <w:lang w:eastAsia="ru-RU"/>
              </w:rPr>
              <w:t>Дата подписания акта приема-передачи между сторонами по договору подряда / купли - продажи. </w:t>
            </w:r>
          </w:p>
        </w:tc>
      </w:tr>
      <w:tr w:rsidR="009C22F7" w:rsidRPr="00BE536E" w14:paraId="15A61155" w14:textId="77777777" w:rsidTr="00C819D7">
        <w:trPr>
          <w:trHeight w:val="2236"/>
        </w:trPr>
        <w:tc>
          <w:tcPr>
            <w:tcW w:w="2126" w:type="dxa"/>
            <w:shd w:val="clear" w:color="auto" w:fill="A6A6A6"/>
          </w:tcPr>
          <w:p w14:paraId="0A9E544C"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513" w:type="dxa"/>
          </w:tcPr>
          <w:p w14:paraId="7714A905" w14:textId="77777777" w:rsidR="009C22F7" w:rsidRPr="00BE536E" w:rsidRDefault="009C22F7" w:rsidP="00567222">
            <w:pPr>
              <w:numPr>
                <w:ilvl w:val="0"/>
                <w:numId w:val="4"/>
              </w:numPr>
              <w:spacing w:after="0" w:line="240" w:lineRule="auto"/>
              <w:ind w:left="318" w:hanging="227"/>
              <w:jc w:val="both"/>
              <w:rPr>
                <w:rFonts w:ascii="Verdana" w:eastAsia="Times New Roman" w:hAnsi="Verdana"/>
                <w:color w:val="000000"/>
                <w:sz w:val="20"/>
                <w:szCs w:val="20"/>
                <w:lang w:eastAsia="ru-RU"/>
              </w:rPr>
            </w:pPr>
            <w:r w:rsidRPr="00BE536E">
              <w:rPr>
                <w:rFonts w:ascii="Verdana" w:eastAsia="Times New Roman" w:hAnsi="Verdana"/>
                <w:color w:val="000000"/>
                <w:sz w:val="20"/>
                <w:szCs w:val="20"/>
                <w:lang w:eastAsia="ru-RU"/>
              </w:rPr>
              <w:t>Исполнения договора Застройщиком при условии регистрации права собственности владельцев инвестиционных паев ПИФ на объект недвижимости, являющийся предметом такого договора/ исполнение договора Застройщиком при условии регистрации изменений, произведенных вследствие реконструкции  объекта недвижимости, являющегося предметом такого договора;</w:t>
            </w:r>
          </w:p>
          <w:p w14:paraId="6EA5149B" w14:textId="77777777" w:rsidR="009C22F7" w:rsidRPr="00BE536E" w:rsidRDefault="009C22F7" w:rsidP="00C819D7">
            <w:pPr>
              <w:spacing w:after="0" w:line="240" w:lineRule="auto"/>
              <w:ind w:left="318"/>
              <w:jc w:val="both"/>
              <w:rPr>
                <w:rFonts w:ascii="Verdana" w:eastAsia="Times New Roman" w:hAnsi="Verdana"/>
                <w:color w:val="000000"/>
                <w:sz w:val="20"/>
                <w:szCs w:val="20"/>
                <w:lang w:eastAsia="ru-RU"/>
              </w:rPr>
            </w:pPr>
          </w:p>
          <w:p w14:paraId="4E147ECF" w14:textId="77777777" w:rsidR="009C22F7" w:rsidRPr="00BE536E" w:rsidRDefault="009C22F7" w:rsidP="00567222">
            <w:pPr>
              <w:numPr>
                <w:ilvl w:val="0"/>
                <w:numId w:val="4"/>
              </w:numPr>
              <w:spacing w:after="0" w:line="240" w:lineRule="auto"/>
              <w:ind w:left="318" w:hanging="227"/>
              <w:jc w:val="both"/>
              <w:rPr>
                <w:rFonts w:ascii="Verdana" w:eastAsia="Times New Roman" w:hAnsi="Verdana"/>
                <w:color w:val="000000"/>
                <w:sz w:val="20"/>
                <w:szCs w:val="20"/>
                <w:lang w:eastAsia="ru-RU"/>
              </w:rPr>
            </w:pPr>
            <w:r w:rsidRPr="00BE536E">
              <w:rPr>
                <w:rFonts w:ascii="Verdana" w:eastAsia="Times New Roman" w:hAnsi="Verdana"/>
                <w:color w:val="000000"/>
                <w:sz w:val="20"/>
                <w:szCs w:val="20"/>
                <w:lang w:eastAsia="ru-RU"/>
              </w:rPr>
              <w:t xml:space="preserve">Передача ПИФ прав и обязательств по договору </w:t>
            </w:r>
            <w:r w:rsidRPr="00BE536E">
              <w:rPr>
                <w:rFonts w:ascii="Verdana" w:eastAsia="Times New Roman" w:hAnsi="Verdana"/>
                <w:bCs/>
                <w:color w:val="000000"/>
                <w:sz w:val="20"/>
                <w:szCs w:val="20"/>
                <w:lang w:eastAsia="ru-RU"/>
              </w:rPr>
              <w:t xml:space="preserve">подряда / купли – продажи </w:t>
            </w:r>
            <w:r w:rsidRPr="00BE536E">
              <w:rPr>
                <w:rFonts w:ascii="Verdana" w:eastAsia="Times New Roman" w:hAnsi="Verdana"/>
                <w:color w:val="000000"/>
                <w:sz w:val="20"/>
                <w:szCs w:val="20"/>
                <w:lang w:eastAsia="ru-RU"/>
              </w:rPr>
              <w:t>с Застройщиком третьему лицу;</w:t>
            </w:r>
          </w:p>
          <w:p w14:paraId="0351B8D3" w14:textId="77777777" w:rsidR="009C22F7" w:rsidRPr="00BE536E" w:rsidRDefault="009C22F7" w:rsidP="00C819D7">
            <w:pPr>
              <w:rPr>
                <w:rFonts w:ascii="Verdana" w:eastAsia="Times New Roman" w:hAnsi="Verdana"/>
                <w:color w:val="000000"/>
                <w:sz w:val="20"/>
                <w:szCs w:val="20"/>
                <w:lang w:eastAsia="ru-RU"/>
              </w:rPr>
            </w:pPr>
          </w:p>
          <w:p w14:paraId="712C2029" w14:textId="77777777" w:rsidR="009C22F7" w:rsidRPr="00BE536E" w:rsidRDefault="009C22F7" w:rsidP="00567222">
            <w:pPr>
              <w:numPr>
                <w:ilvl w:val="0"/>
                <w:numId w:val="4"/>
              </w:numPr>
              <w:spacing w:after="0" w:line="240" w:lineRule="auto"/>
              <w:ind w:left="318" w:hanging="227"/>
              <w:jc w:val="both"/>
              <w:rPr>
                <w:rFonts w:ascii="Verdana" w:eastAsia="Times New Roman" w:hAnsi="Verdana"/>
                <w:color w:val="000000"/>
                <w:sz w:val="20"/>
                <w:szCs w:val="20"/>
                <w:lang w:eastAsia="ru-RU"/>
              </w:rPr>
            </w:pPr>
            <w:r w:rsidRPr="00BE536E">
              <w:rPr>
                <w:rFonts w:ascii="Verdana" w:eastAsia="Times New Roman" w:hAnsi="Verdana"/>
                <w:color w:val="000000"/>
                <w:sz w:val="20"/>
                <w:szCs w:val="20"/>
                <w:lang w:eastAsia="ru-RU"/>
              </w:rPr>
              <w:t xml:space="preserve">Прочего прекращения прав и обязательств по договору </w:t>
            </w:r>
            <w:r w:rsidRPr="00BE536E">
              <w:rPr>
                <w:rFonts w:ascii="Verdana" w:eastAsia="Times New Roman" w:hAnsi="Verdana"/>
                <w:bCs/>
                <w:color w:val="000000"/>
                <w:sz w:val="20"/>
                <w:szCs w:val="20"/>
                <w:lang w:eastAsia="ru-RU"/>
              </w:rPr>
              <w:t xml:space="preserve">подряда / купли – продажи </w:t>
            </w:r>
            <w:r w:rsidRPr="00BE536E">
              <w:rPr>
                <w:rFonts w:ascii="Verdana" w:eastAsia="Times New Roman" w:hAnsi="Verdana"/>
                <w:color w:val="000000"/>
                <w:sz w:val="20"/>
                <w:szCs w:val="20"/>
                <w:lang w:eastAsia="ru-RU"/>
              </w:rPr>
              <w:t>с Застройщиком в соответствии с законодательством или договором.</w:t>
            </w:r>
          </w:p>
          <w:p w14:paraId="44DAB6DD" w14:textId="77777777" w:rsidR="009C22F7" w:rsidRPr="00BE536E" w:rsidRDefault="009C22F7" w:rsidP="00C819D7">
            <w:pPr>
              <w:spacing w:after="0" w:line="240" w:lineRule="auto"/>
              <w:ind w:left="26"/>
              <w:jc w:val="both"/>
              <w:rPr>
                <w:rFonts w:ascii="Verdana" w:eastAsia="Times New Roman" w:hAnsi="Verdana"/>
                <w:bCs/>
                <w:color w:val="000000"/>
                <w:sz w:val="20"/>
                <w:szCs w:val="20"/>
                <w:lang w:eastAsia="ru-RU"/>
              </w:rPr>
            </w:pPr>
          </w:p>
        </w:tc>
      </w:tr>
      <w:tr w:rsidR="009C22F7" w:rsidRPr="00BE536E" w14:paraId="708D36B1" w14:textId="77777777" w:rsidTr="00C819D7">
        <w:trPr>
          <w:trHeight w:val="541"/>
        </w:trPr>
        <w:tc>
          <w:tcPr>
            <w:tcW w:w="2126" w:type="dxa"/>
            <w:shd w:val="clear" w:color="auto" w:fill="A6A6A6"/>
          </w:tcPr>
          <w:p w14:paraId="1EF3A393"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513" w:type="dxa"/>
          </w:tcPr>
          <w:p w14:paraId="03D71300"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проектной документации для строительства или реконструкции объекта недвижимости определяется </w:t>
            </w:r>
            <w:r w:rsidRPr="00BE536E">
              <w:rPr>
                <w:rFonts w:ascii="Verdana" w:hAnsi="Verdana"/>
                <w:sz w:val="20"/>
                <w:szCs w:val="20"/>
              </w:rPr>
              <w:t>на основании отчета оценщика.</w:t>
            </w:r>
            <w:r w:rsidRPr="00BE536E">
              <w:rPr>
                <w:rFonts w:ascii="Verdana" w:eastAsia="Times New Roman" w:hAnsi="Verdana"/>
                <w:bCs/>
                <w:color w:val="000000"/>
                <w:sz w:val="20"/>
                <w:szCs w:val="20"/>
                <w:lang w:eastAsia="ru-RU"/>
              </w:rPr>
              <w:t xml:space="preserve"> </w:t>
            </w:r>
          </w:p>
          <w:p w14:paraId="6D009D3F"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4B9D6735"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проектной документации, стоимость которой определяется оценщиком, при наличии признаков обесценения, корректируется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00274EE4"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в части требований к отчету оценщика.</w:t>
            </w:r>
          </w:p>
        </w:tc>
      </w:tr>
      <w:tr w:rsidR="009C22F7" w:rsidRPr="00BE536E" w14:paraId="5831CAC5" w14:textId="77777777" w:rsidTr="00C819D7">
        <w:trPr>
          <w:trHeight w:val="541"/>
        </w:trPr>
        <w:tc>
          <w:tcPr>
            <w:tcW w:w="2126" w:type="dxa"/>
            <w:shd w:val="clear" w:color="auto" w:fill="A6A6A6"/>
          </w:tcPr>
          <w:p w14:paraId="7478075A"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513" w:type="dxa"/>
          </w:tcPr>
          <w:p w14:paraId="3BBF0CFE" w14:textId="77777777" w:rsidR="009C22F7" w:rsidRPr="00BE536E" w:rsidRDefault="009C22F7" w:rsidP="00C819D7">
            <w:pPr>
              <w:spacing w:after="0" w:line="240" w:lineRule="auto"/>
              <w:ind w:left="176"/>
              <w:jc w:val="both"/>
              <w:rPr>
                <w:rFonts w:ascii="Verdana" w:eastAsia="Times New Roman" w:hAnsi="Verdana"/>
                <w:bCs/>
                <w:color w:val="000000"/>
                <w:sz w:val="20"/>
                <w:szCs w:val="20"/>
                <w:lang w:eastAsia="ru-RU"/>
              </w:rPr>
            </w:pPr>
          </w:p>
          <w:p w14:paraId="2B624B82"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sz w:val="20"/>
                  <w:szCs w:val="20"/>
                </w:rPr>
                <w:t>Приложении 5</w:t>
              </w:r>
            </w:hyperlink>
            <w:r w:rsidRPr="00BE536E">
              <w:rPr>
                <w:rFonts w:ascii="Verdana" w:hAnsi="Verdana"/>
                <w:sz w:val="20"/>
                <w:szCs w:val="20"/>
              </w:rPr>
              <w:t>.</w:t>
            </w:r>
          </w:p>
          <w:p w14:paraId="74F78EE5"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bl>
    <w:p w14:paraId="093CD0D8" w14:textId="77777777" w:rsidR="009C22F7" w:rsidRPr="00BE536E" w:rsidRDefault="009C22F7" w:rsidP="009C22F7">
      <w:pPr>
        <w:spacing w:after="0"/>
        <w:ind w:left="6096"/>
        <w:jc w:val="both"/>
        <w:rPr>
          <w:rFonts w:ascii="Verdana" w:hAnsi="Verdana" w:cs="Arial"/>
          <w:sz w:val="20"/>
          <w:szCs w:val="20"/>
        </w:rPr>
      </w:pPr>
    </w:p>
    <w:p w14:paraId="7D24A9CF" w14:textId="77777777" w:rsidR="009C22F7" w:rsidRPr="00BE536E" w:rsidRDefault="009C22F7" w:rsidP="009C22F7">
      <w:pPr>
        <w:spacing w:after="0"/>
        <w:ind w:left="6096"/>
        <w:jc w:val="both"/>
        <w:rPr>
          <w:rFonts w:ascii="Verdana" w:hAnsi="Verdana" w:cs="Arial"/>
          <w:b/>
          <w:sz w:val="20"/>
          <w:szCs w:val="20"/>
        </w:rPr>
      </w:pPr>
    </w:p>
    <w:p w14:paraId="02936503" w14:textId="77777777" w:rsidR="009C22F7" w:rsidRPr="00BE536E" w:rsidRDefault="009C22F7" w:rsidP="009C22F7">
      <w:pPr>
        <w:spacing w:after="0"/>
        <w:ind w:left="6096"/>
        <w:jc w:val="both"/>
        <w:rPr>
          <w:rFonts w:ascii="Verdana" w:hAnsi="Verdana" w:cs="Arial"/>
          <w:b/>
          <w:sz w:val="20"/>
          <w:szCs w:val="20"/>
        </w:rPr>
      </w:pPr>
    </w:p>
    <w:p w14:paraId="6B96CC79" w14:textId="77777777" w:rsidR="009C22F7" w:rsidRPr="00BE536E" w:rsidRDefault="009C22F7" w:rsidP="009C22F7">
      <w:pPr>
        <w:spacing w:after="0"/>
        <w:ind w:left="6096"/>
        <w:jc w:val="both"/>
        <w:rPr>
          <w:rFonts w:ascii="Verdana" w:hAnsi="Verdana" w:cs="Arial"/>
          <w:b/>
          <w:sz w:val="20"/>
          <w:szCs w:val="20"/>
        </w:rPr>
      </w:pPr>
    </w:p>
    <w:p w14:paraId="132F3A7E" w14:textId="77777777" w:rsidR="009C22F7" w:rsidRPr="00BE536E" w:rsidRDefault="009C22F7" w:rsidP="009C22F7">
      <w:pPr>
        <w:spacing w:after="0"/>
        <w:ind w:left="6096"/>
        <w:jc w:val="both"/>
        <w:rPr>
          <w:rFonts w:ascii="Verdana" w:hAnsi="Verdana" w:cs="Arial"/>
          <w:b/>
          <w:sz w:val="20"/>
          <w:szCs w:val="20"/>
        </w:rPr>
      </w:pPr>
    </w:p>
    <w:p w14:paraId="15E3B9FC" w14:textId="77777777" w:rsidR="009C22F7" w:rsidRPr="00BE536E" w:rsidRDefault="009C22F7" w:rsidP="009C22F7">
      <w:pPr>
        <w:spacing w:after="0"/>
        <w:ind w:left="6096"/>
        <w:jc w:val="both"/>
        <w:rPr>
          <w:rFonts w:ascii="Verdana" w:hAnsi="Verdana" w:cs="Arial"/>
          <w:b/>
          <w:sz w:val="20"/>
          <w:szCs w:val="20"/>
        </w:rPr>
      </w:pPr>
    </w:p>
    <w:p w14:paraId="5C62B397" w14:textId="77777777" w:rsidR="009C22F7" w:rsidRPr="00BE536E" w:rsidRDefault="009C22F7" w:rsidP="009C22F7">
      <w:pPr>
        <w:spacing w:after="0"/>
        <w:ind w:left="6096"/>
        <w:jc w:val="both"/>
        <w:rPr>
          <w:rFonts w:ascii="Verdana" w:hAnsi="Verdana" w:cs="Arial"/>
          <w:b/>
          <w:sz w:val="20"/>
          <w:szCs w:val="20"/>
        </w:rPr>
      </w:pPr>
    </w:p>
    <w:p w14:paraId="519086CA" w14:textId="77777777" w:rsidR="009C22F7" w:rsidRPr="00BE536E" w:rsidRDefault="009C22F7" w:rsidP="009C22F7">
      <w:pPr>
        <w:spacing w:after="0"/>
        <w:ind w:left="6096"/>
        <w:jc w:val="both"/>
        <w:rPr>
          <w:rFonts w:ascii="Verdana" w:hAnsi="Verdana" w:cs="Arial"/>
          <w:b/>
          <w:sz w:val="20"/>
          <w:szCs w:val="20"/>
        </w:rPr>
      </w:pPr>
    </w:p>
    <w:p w14:paraId="308FD28B" w14:textId="77777777" w:rsidR="009C22F7" w:rsidRPr="00BE536E" w:rsidRDefault="009C22F7" w:rsidP="009C22F7">
      <w:pPr>
        <w:spacing w:after="0"/>
        <w:ind w:left="6096"/>
        <w:jc w:val="both"/>
        <w:rPr>
          <w:rFonts w:ascii="Verdana" w:hAnsi="Verdana" w:cs="Arial"/>
          <w:b/>
          <w:sz w:val="20"/>
          <w:szCs w:val="20"/>
        </w:rPr>
      </w:pPr>
    </w:p>
    <w:p w14:paraId="188CEC33" w14:textId="77777777" w:rsidR="009C22F7" w:rsidRPr="00BE536E" w:rsidRDefault="009C22F7" w:rsidP="009C22F7">
      <w:pPr>
        <w:spacing w:after="0"/>
        <w:ind w:left="6096"/>
        <w:jc w:val="both"/>
        <w:rPr>
          <w:rFonts w:ascii="Verdana" w:hAnsi="Verdana" w:cs="Arial"/>
          <w:b/>
          <w:sz w:val="20"/>
          <w:szCs w:val="20"/>
        </w:rPr>
      </w:pPr>
    </w:p>
    <w:p w14:paraId="714E21DD" w14:textId="77777777" w:rsidR="009C22F7" w:rsidRPr="00BE536E" w:rsidRDefault="009C22F7" w:rsidP="009C22F7">
      <w:pPr>
        <w:spacing w:after="0"/>
        <w:ind w:left="6096"/>
        <w:jc w:val="both"/>
        <w:rPr>
          <w:rFonts w:ascii="Verdana" w:hAnsi="Verdana" w:cs="Arial"/>
          <w:b/>
          <w:sz w:val="20"/>
          <w:szCs w:val="20"/>
        </w:rPr>
      </w:pPr>
    </w:p>
    <w:p w14:paraId="5D76041C" w14:textId="77777777" w:rsidR="009C22F7" w:rsidRPr="00BE536E" w:rsidRDefault="009C22F7" w:rsidP="009C22F7">
      <w:pPr>
        <w:spacing w:after="0"/>
        <w:ind w:left="6096"/>
        <w:jc w:val="both"/>
        <w:rPr>
          <w:rFonts w:ascii="Verdana" w:hAnsi="Verdana" w:cs="Arial"/>
          <w:b/>
          <w:sz w:val="20"/>
          <w:szCs w:val="20"/>
        </w:rPr>
      </w:pPr>
    </w:p>
    <w:p w14:paraId="13888482" w14:textId="77777777" w:rsidR="009C22F7" w:rsidRPr="00BE536E" w:rsidRDefault="009C22F7" w:rsidP="007838E0">
      <w:pPr>
        <w:spacing w:after="0"/>
        <w:jc w:val="center"/>
        <w:rPr>
          <w:rFonts w:ascii="Verdana" w:hAnsi="Verdana" w:cs="Arial"/>
          <w:b/>
        </w:rPr>
        <w:sectPr w:rsidR="009C22F7" w:rsidRPr="00BE536E" w:rsidSect="003C31C1">
          <w:pgSz w:w="12240" w:h="15840"/>
          <w:pgMar w:top="1134" w:right="709" w:bottom="992" w:left="1701" w:header="720" w:footer="720" w:gutter="0"/>
          <w:cols w:space="720"/>
          <w:noEndnote/>
          <w:docGrid w:linePitch="360"/>
        </w:sectPr>
      </w:pPr>
    </w:p>
    <w:p w14:paraId="77503D00" w14:textId="6F6F8D6D" w:rsidR="009C22F7" w:rsidRPr="00BE536E" w:rsidRDefault="009C22F7" w:rsidP="007838E0">
      <w:pPr>
        <w:pStyle w:val="10"/>
        <w:numPr>
          <w:ilvl w:val="0"/>
          <w:numId w:val="0"/>
        </w:numPr>
        <w:jc w:val="left"/>
        <w:rPr>
          <w:rFonts w:ascii="Verdana" w:hAnsi="Verdana" w:cs="Arial"/>
          <w:b w:val="0"/>
          <w:bCs w:val="0"/>
          <w:iCs w:val="0"/>
          <w:caps/>
          <w:smallCaps w:val="0"/>
          <w:color w:val="943634"/>
          <w:sz w:val="24"/>
        </w:rPr>
      </w:pPr>
      <w:bookmarkStart w:id="29" w:name="_Приложение_331._Договор"/>
      <w:bookmarkStart w:id="30" w:name="_Приложение_33._Договор"/>
      <w:bookmarkEnd w:id="29"/>
      <w:bookmarkEnd w:id="30"/>
      <w:r w:rsidRPr="00BE536E">
        <w:rPr>
          <w:rFonts w:ascii="Verdana" w:hAnsi="Verdana" w:cs="Arial"/>
          <w:b w:val="0"/>
          <w:bCs w:val="0"/>
          <w:iCs w:val="0"/>
          <w:caps/>
          <w:smallCaps w:val="0"/>
          <w:color w:val="943634"/>
          <w:sz w:val="24"/>
        </w:rPr>
        <w:lastRenderedPageBreak/>
        <w:t xml:space="preserve">Приложение </w:t>
      </w:r>
      <w:r w:rsidR="00A574FA"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8</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Производные финансовые инструменты (расчетные) </w:t>
      </w:r>
    </w:p>
    <w:tbl>
      <w:tblPr>
        <w:tblW w:w="10065" w:type="dxa"/>
        <w:tblInd w:w="-17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552"/>
        <w:gridCol w:w="7513"/>
      </w:tblGrid>
      <w:tr w:rsidR="009C22F7" w:rsidRPr="00BE536E" w14:paraId="3DE25202" w14:textId="77777777" w:rsidTr="007838E0">
        <w:trPr>
          <w:trHeight w:val="363"/>
        </w:trPr>
        <w:tc>
          <w:tcPr>
            <w:tcW w:w="2552" w:type="dxa"/>
            <w:shd w:val="clear" w:color="auto" w:fill="A6A6A6"/>
          </w:tcPr>
          <w:p w14:paraId="5C4117AB" w14:textId="77777777" w:rsidR="009C22F7" w:rsidRPr="00BE536E" w:rsidRDefault="009C22F7" w:rsidP="007838E0">
            <w:pPr>
              <w:spacing w:after="0" w:line="240" w:lineRule="auto"/>
              <w:jc w:val="both"/>
              <w:rPr>
                <w:rFonts w:ascii="Verdana" w:hAnsi="Verdana"/>
                <w:i/>
                <w:sz w:val="20"/>
                <w:szCs w:val="20"/>
              </w:rPr>
            </w:pPr>
            <w:r w:rsidRPr="00BE536E">
              <w:rPr>
                <w:rFonts w:ascii="Verdana" w:hAnsi="Verdana"/>
                <w:i/>
                <w:sz w:val="20"/>
                <w:szCs w:val="20"/>
              </w:rPr>
              <w:t>Виды активов</w:t>
            </w:r>
          </w:p>
        </w:tc>
        <w:tc>
          <w:tcPr>
            <w:tcW w:w="7513" w:type="dxa"/>
          </w:tcPr>
          <w:p w14:paraId="4835DFE6" w14:textId="77777777" w:rsidR="009C22F7" w:rsidRPr="00BE536E" w:rsidRDefault="009C22F7" w:rsidP="007838E0">
            <w:pPr>
              <w:spacing w:after="0" w:line="240" w:lineRule="auto"/>
              <w:ind w:left="34"/>
              <w:jc w:val="both"/>
              <w:rPr>
                <w:rFonts w:ascii="Verdana" w:hAnsi="Verdana"/>
                <w:lang w:eastAsia="ru-RU"/>
              </w:rPr>
            </w:pPr>
            <w:r w:rsidRPr="00BE536E">
              <w:rPr>
                <w:rFonts w:ascii="Verdana" w:hAnsi="Verdana" w:cs="Verdana"/>
                <w:sz w:val="20"/>
                <w:szCs w:val="20"/>
              </w:rPr>
              <w:t>Производные финансовые инструменты (расчетные биржевые и внебиржевые) (далее – расчетные ПФИ)</w:t>
            </w:r>
          </w:p>
          <w:p w14:paraId="55DB6028" w14:textId="77777777" w:rsidR="009C22F7" w:rsidRPr="00BE536E" w:rsidRDefault="009C22F7" w:rsidP="007838E0">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iCs/>
                <w:sz w:val="20"/>
                <w:szCs w:val="20"/>
                <w:lang w:eastAsia="ru-RU"/>
              </w:rPr>
              <w:t>Дебиторская задолженность ПИФ, как оценка права из ПФИ</w:t>
            </w:r>
          </w:p>
          <w:p w14:paraId="5C04C40F" w14:textId="77777777" w:rsidR="009C22F7" w:rsidRPr="00BE536E" w:rsidRDefault="009C22F7" w:rsidP="007838E0">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iCs/>
                <w:sz w:val="20"/>
                <w:szCs w:val="20"/>
                <w:lang w:eastAsia="ru-RU"/>
              </w:rPr>
              <w:t>Кредиторская задолженность ПИФ, как оценка обязательств из ПФИ</w:t>
            </w:r>
          </w:p>
        </w:tc>
      </w:tr>
      <w:tr w:rsidR="009C22F7" w:rsidRPr="00BE536E" w14:paraId="13032E5D" w14:textId="77777777" w:rsidTr="007838E0">
        <w:trPr>
          <w:trHeight w:val="595"/>
        </w:trPr>
        <w:tc>
          <w:tcPr>
            <w:tcW w:w="2552" w:type="dxa"/>
            <w:shd w:val="clear" w:color="auto" w:fill="A6A6A6"/>
          </w:tcPr>
          <w:p w14:paraId="2E70F969" w14:textId="77777777" w:rsidR="009C22F7" w:rsidRPr="00BE536E" w:rsidRDefault="009C22F7" w:rsidP="007838E0">
            <w:pPr>
              <w:spacing w:after="0" w:line="240" w:lineRule="auto"/>
              <w:jc w:val="both"/>
              <w:rPr>
                <w:rFonts w:ascii="Verdana" w:hAnsi="Verdana"/>
                <w:i/>
                <w:sz w:val="20"/>
                <w:szCs w:val="20"/>
              </w:rPr>
            </w:pPr>
            <w:r w:rsidRPr="00BE536E">
              <w:rPr>
                <w:rFonts w:ascii="Verdana" w:hAnsi="Verdana"/>
                <w:i/>
                <w:sz w:val="20"/>
                <w:szCs w:val="20"/>
              </w:rPr>
              <w:t>Критерии признания</w:t>
            </w:r>
          </w:p>
        </w:tc>
        <w:tc>
          <w:tcPr>
            <w:tcW w:w="7513" w:type="dxa"/>
          </w:tcPr>
          <w:p w14:paraId="3F1CED16" w14:textId="77777777" w:rsidR="009C22F7" w:rsidRPr="00BE536E" w:rsidRDefault="009C22F7" w:rsidP="007838E0">
            <w:pPr>
              <w:spacing w:after="0" w:line="240" w:lineRule="auto"/>
              <w:ind w:left="1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биржевым ПФИ – дата приобретения в соответствии с отчетом брокера.</w:t>
            </w:r>
          </w:p>
          <w:p w14:paraId="53C04AD2" w14:textId="77777777" w:rsidR="009C22F7" w:rsidRPr="00BE536E" w:rsidRDefault="009C22F7" w:rsidP="007838E0">
            <w:pPr>
              <w:spacing w:after="0" w:line="240" w:lineRule="auto"/>
              <w:ind w:left="15"/>
              <w:jc w:val="both"/>
              <w:rPr>
                <w:rFonts w:ascii="Verdana" w:hAnsi="Verdana"/>
                <w:sz w:val="20"/>
                <w:szCs w:val="20"/>
              </w:rPr>
            </w:pPr>
            <w:r w:rsidRPr="00BE536E">
              <w:rPr>
                <w:rFonts w:ascii="Verdana" w:eastAsia="Times New Roman" w:hAnsi="Verdana"/>
                <w:bCs/>
                <w:color w:val="000000"/>
                <w:sz w:val="20"/>
                <w:szCs w:val="20"/>
                <w:lang w:eastAsia="ru-RU"/>
              </w:rPr>
              <w:t>По внебиржевым ПФИ – дата заключения договора, в котором  одной из сторон является Управляющая компания Д.У. ПИФ.</w:t>
            </w:r>
          </w:p>
        </w:tc>
      </w:tr>
      <w:tr w:rsidR="009C22F7" w:rsidRPr="00BE536E" w14:paraId="0C172318" w14:textId="77777777" w:rsidTr="007838E0">
        <w:trPr>
          <w:trHeight w:val="845"/>
        </w:trPr>
        <w:tc>
          <w:tcPr>
            <w:tcW w:w="2552" w:type="dxa"/>
            <w:shd w:val="clear" w:color="auto" w:fill="A6A6A6"/>
          </w:tcPr>
          <w:p w14:paraId="7C16519D" w14:textId="77777777" w:rsidR="009C22F7" w:rsidRPr="00BE536E" w:rsidRDefault="009C22F7" w:rsidP="007838E0">
            <w:pPr>
              <w:spacing w:after="0" w:line="240" w:lineRule="auto"/>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513" w:type="dxa"/>
          </w:tcPr>
          <w:p w14:paraId="7F45FE33" w14:textId="77777777" w:rsidR="009C22F7" w:rsidRPr="00BE536E" w:rsidRDefault="009C22F7" w:rsidP="007838E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биржевым ПФИ:</w:t>
            </w:r>
          </w:p>
          <w:p w14:paraId="3B35E8A2" w14:textId="77777777" w:rsidR="009C22F7" w:rsidRPr="00BE536E" w:rsidRDefault="009C22F7" w:rsidP="007838E0">
            <w:pPr>
              <w:numPr>
                <w:ilvl w:val="0"/>
                <w:numId w:val="33"/>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исполнение контракта;</w:t>
            </w:r>
          </w:p>
          <w:p w14:paraId="1E2A5D4E" w14:textId="77777777" w:rsidR="009C22F7" w:rsidRPr="00BE536E" w:rsidRDefault="009C22F7" w:rsidP="007838E0">
            <w:pPr>
              <w:numPr>
                <w:ilvl w:val="0"/>
                <w:numId w:val="33"/>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возникновения встречных обязательств по контракту с такой же спецификацией, т.е. заключение офсетной сделки;</w:t>
            </w:r>
          </w:p>
          <w:p w14:paraId="5A4A33A1" w14:textId="77777777" w:rsidR="009C22F7" w:rsidRPr="00BE536E" w:rsidRDefault="009C22F7" w:rsidP="007838E0">
            <w:pPr>
              <w:numPr>
                <w:ilvl w:val="0"/>
                <w:numId w:val="33"/>
              </w:numPr>
              <w:spacing w:after="0" w:line="240" w:lineRule="auto"/>
              <w:ind w:left="318" w:hanging="283"/>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иным основаниям, указанным в Правилах клиринга, в установленном ими порядке.</w:t>
            </w:r>
            <w:r w:rsidRPr="00BE536E">
              <w:rPr>
                <w:rFonts w:ascii="Verdana" w:eastAsia="Times New Roman" w:hAnsi="Verdana"/>
                <w:bCs/>
                <w:color w:val="000000"/>
                <w:sz w:val="20"/>
                <w:szCs w:val="20"/>
                <w:lang w:eastAsia="ru-RU"/>
              </w:rPr>
              <w:br/>
            </w:r>
          </w:p>
          <w:p w14:paraId="6BAB8D77" w14:textId="77777777" w:rsidR="009C22F7" w:rsidRPr="00BE536E" w:rsidRDefault="009C22F7" w:rsidP="007838E0">
            <w:pPr>
              <w:spacing w:after="0" w:line="240" w:lineRule="auto"/>
              <w:ind w:left="3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внебиржевым ПФИ:</w:t>
            </w:r>
          </w:p>
          <w:p w14:paraId="2F5EF03D" w14:textId="77777777" w:rsidR="009C22F7" w:rsidRPr="00BE536E" w:rsidRDefault="009C22F7" w:rsidP="007838E0">
            <w:pPr>
              <w:numPr>
                <w:ilvl w:val="0"/>
                <w:numId w:val="34"/>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исполнение контракта;</w:t>
            </w:r>
          </w:p>
          <w:p w14:paraId="68331E1D" w14:textId="77777777" w:rsidR="009C22F7" w:rsidRPr="00BE536E" w:rsidRDefault="009C22F7" w:rsidP="007838E0">
            <w:pPr>
              <w:numPr>
                <w:ilvl w:val="0"/>
                <w:numId w:val="34"/>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переуступка прав требования по договору ПФИ.</w:t>
            </w:r>
          </w:p>
        </w:tc>
      </w:tr>
      <w:tr w:rsidR="009C22F7" w:rsidRPr="00BE536E" w14:paraId="07C573B0" w14:textId="77777777" w:rsidTr="007838E0">
        <w:tc>
          <w:tcPr>
            <w:tcW w:w="2552" w:type="dxa"/>
            <w:shd w:val="clear" w:color="auto" w:fill="A6A6A6"/>
          </w:tcPr>
          <w:p w14:paraId="6EA9FA0D" w14:textId="77777777" w:rsidR="009C22F7" w:rsidRPr="00BE536E" w:rsidRDefault="009C22F7" w:rsidP="007838E0">
            <w:pPr>
              <w:spacing w:after="0" w:line="240" w:lineRule="auto"/>
              <w:jc w:val="both"/>
              <w:rPr>
                <w:rFonts w:ascii="Verdana" w:hAnsi="Verdana"/>
                <w:bCs/>
                <w:i/>
                <w:sz w:val="20"/>
                <w:szCs w:val="20"/>
              </w:rPr>
            </w:pPr>
            <w:r w:rsidRPr="00BE536E">
              <w:rPr>
                <w:rFonts w:ascii="Verdana" w:hAnsi="Verdana"/>
                <w:i/>
                <w:sz w:val="20"/>
                <w:szCs w:val="20"/>
              </w:rPr>
              <w:t>Справедливая стоимость</w:t>
            </w:r>
          </w:p>
        </w:tc>
        <w:tc>
          <w:tcPr>
            <w:tcW w:w="7513" w:type="dxa"/>
          </w:tcPr>
          <w:p w14:paraId="09EAB69E" w14:textId="77777777" w:rsidR="009C22F7" w:rsidRPr="00BE536E" w:rsidRDefault="009C22F7" w:rsidP="007838E0">
            <w:pPr>
              <w:spacing w:after="0" w:line="240" w:lineRule="auto"/>
              <w:jc w:val="both"/>
              <w:rPr>
                <w:rFonts w:ascii="Verdana" w:hAnsi="Verdana" w:cs="Verdana"/>
                <w:sz w:val="20"/>
                <w:szCs w:val="20"/>
              </w:rPr>
            </w:pPr>
            <w:r w:rsidRPr="00BE536E">
              <w:rPr>
                <w:rFonts w:ascii="Verdana" w:eastAsia="Times New Roman" w:hAnsi="Verdana"/>
                <w:bCs/>
                <w:color w:val="000000"/>
                <w:sz w:val="20"/>
                <w:szCs w:val="20"/>
                <w:lang w:eastAsia="ru-RU"/>
              </w:rPr>
              <w:t>Справедливая стоимость биржевого р</w:t>
            </w:r>
            <w:r w:rsidRPr="00BE536E">
              <w:rPr>
                <w:rFonts w:ascii="Verdana" w:hAnsi="Verdana" w:cs="Verdana"/>
                <w:sz w:val="20"/>
                <w:szCs w:val="20"/>
              </w:rPr>
              <w:t>асчетного ПФИ равна 0 (Ноль), если в составе операций по брокерскому счету проведены все расчеты по вариационной марже.</w:t>
            </w:r>
          </w:p>
          <w:p w14:paraId="0C6C8279" w14:textId="77777777" w:rsidR="009C22F7" w:rsidRPr="00BE536E" w:rsidRDefault="009C22F7" w:rsidP="007838E0">
            <w:pPr>
              <w:spacing w:after="0" w:line="240" w:lineRule="auto"/>
              <w:jc w:val="both"/>
              <w:rPr>
                <w:rFonts w:ascii="Verdana" w:hAnsi="Verdana" w:cs="Verdana"/>
                <w:sz w:val="20"/>
                <w:szCs w:val="20"/>
              </w:rPr>
            </w:pPr>
            <w:r w:rsidRPr="00BE536E">
              <w:rPr>
                <w:rFonts w:ascii="Verdana" w:hAnsi="Verdana" w:cs="Verdana"/>
                <w:sz w:val="20"/>
                <w:szCs w:val="20"/>
              </w:rPr>
              <w:t>Справедливая стоимость внебиржевого расчетного ПФИ равна 0 (Ноль) при этом в составе ПИФ отражается так же:</w:t>
            </w:r>
          </w:p>
          <w:p w14:paraId="39D622D7" w14:textId="77777777" w:rsidR="009C22F7" w:rsidRPr="00BE536E" w:rsidRDefault="009C22F7" w:rsidP="007838E0">
            <w:pPr>
              <w:numPr>
                <w:ilvl w:val="0"/>
                <w:numId w:val="35"/>
              </w:numPr>
              <w:spacing w:after="0" w:line="240" w:lineRule="auto"/>
              <w:jc w:val="both"/>
              <w:rPr>
                <w:rFonts w:ascii="Verdana" w:hAnsi="Verdana" w:cs="Verdana"/>
                <w:sz w:val="20"/>
                <w:szCs w:val="20"/>
              </w:rPr>
            </w:pPr>
            <w:r w:rsidRPr="00BE536E">
              <w:rPr>
                <w:rFonts w:ascii="Verdana" w:hAnsi="Verdana" w:cs="Verdana"/>
                <w:sz w:val="20"/>
                <w:szCs w:val="20"/>
              </w:rPr>
              <w:t>дебиторская задолженность, как оценка права из ПФИ, если по условиям контракта при исполнении на дату определения СЧА был бы получен доход в размере разницы между справедливой стоимостью базового актива и ценой исполнения ПФИ в абсолютном значении;</w:t>
            </w:r>
          </w:p>
          <w:p w14:paraId="67036580" w14:textId="77777777" w:rsidR="009C22F7" w:rsidRPr="00BE536E" w:rsidRDefault="009C22F7" w:rsidP="007838E0">
            <w:pPr>
              <w:numPr>
                <w:ilvl w:val="0"/>
                <w:numId w:val="35"/>
              </w:numPr>
              <w:spacing w:after="0" w:line="240" w:lineRule="auto"/>
              <w:jc w:val="both"/>
              <w:rPr>
                <w:rFonts w:ascii="Verdana" w:eastAsia="Times New Roman" w:hAnsi="Verdana"/>
                <w:bCs/>
                <w:color w:val="000000"/>
                <w:sz w:val="20"/>
                <w:szCs w:val="20"/>
                <w:lang w:eastAsia="ru-RU"/>
              </w:rPr>
            </w:pPr>
            <w:r w:rsidRPr="00BE536E">
              <w:rPr>
                <w:rFonts w:ascii="Verdana" w:hAnsi="Verdana" w:cs="Verdana"/>
                <w:sz w:val="20"/>
                <w:szCs w:val="20"/>
              </w:rPr>
              <w:t>кредиторская задолженность, как оценка обязательств из ПФИ, в случае, если по условиям контракта при исполнении на дату определения СЧА был бы получен убыток в размере разницы между справедливой стоимостью базового актива и ценой исполнения ПФИ в абсолютном значении.</w:t>
            </w:r>
          </w:p>
          <w:p w14:paraId="761C6548" w14:textId="77777777" w:rsidR="009C22F7" w:rsidRPr="00BE536E" w:rsidRDefault="009C22F7" w:rsidP="007838E0">
            <w:pPr>
              <w:spacing w:after="0" w:line="240" w:lineRule="auto"/>
              <w:jc w:val="both"/>
              <w:rPr>
                <w:rFonts w:ascii="Verdana" w:hAnsi="Verdana"/>
                <w:sz w:val="20"/>
                <w:szCs w:val="20"/>
              </w:rPr>
            </w:pPr>
            <w:r w:rsidRPr="00BE536E">
              <w:rPr>
                <w:rFonts w:ascii="Verdana" w:hAnsi="Verdana"/>
                <w:sz w:val="20"/>
                <w:szCs w:val="20"/>
              </w:rPr>
              <w:t xml:space="preserve">В случае, если поручение на вывод денежных средств со специального брокерского счета не исполнено в течение одного рабочего дня с даты предъявления поручения справедливая стоимость денежных средств на счете гарантийного обеспечения определяется с использованием методов корректировки СС </w:t>
            </w:r>
            <w:r w:rsidRPr="00BE536E">
              <w:rPr>
                <w:rFonts w:ascii="Verdana" w:eastAsia="Times New Roman" w:hAnsi="Verdana"/>
                <w:bCs/>
                <w:color w:val="000000"/>
                <w:sz w:val="20"/>
                <w:szCs w:val="20"/>
              </w:rPr>
              <w:t>(</w:t>
            </w:r>
            <w:hyperlink w:anchor="_Приложение_6._Метод" w:history="1">
              <w:r w:rsidR="00274EE4" w:rsidRPr="00BE536E">
                <w:rPr>
                  <w:rStyle w:val="a5"/>
                  <w:rFonts w:ascii="Verdana" w:eastAsia="Times New Roman" w:hAnsi="Verdana"/>
                  <w:bCs/>
                  <w:sz w:val="20"/>
                  <w:szCs w:val="20"/>
                </w:rPr>
                <w:t>Приложение 5</w:t>
              </w:r>
            </w:hyperlink>
            <w:r w:rsidRPr="00BE536E">
              <w:rPr>
                <w:rFonts w:ascii="Verdana" w:eastAsia="Times New Roman" w:hAnsi="Verdana"/>
                <w:bCs/>
                <w:color w:val="000000"/>
                <w:sz w:val="20"/>
                <w:szCs w:val="20"/>
              </w:rPr>
              <w:t>)</w:t>
            </w:r>
            <w:r w:rsidRPr="00BE536E">
              <w:rPr>
                <w:rFonts w:ascii="Verdana" w:hAnsi="Verdana"/>
                <w:sz w:val="20"/>
                <w:szCs w:val="20"/>
              </w:rPr>
              <w:t xml:space="preserve">. Данные о неисполнении требования брокером предоставляются управляющей компанией в специализированный депозитарий не позднее рабочего дня, следующего за окончанием установленного срока. </w:t>
            </w:r>
          </w:p>
          <w:p w14:paraId="3A6675E4" w14:textId="77777777" w:rsidR="009C22F7" w:rsidRPr="00BE536E" w:rsidRDefault="009C22F7" w:rsidP="007838E0">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Справедливая стоимость ПФИ корректируется в случае возникновения событий, приводящих к обесценению,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Pr="00BE536E">
              <w:rPr>
                <w:rFonts w:ascii="Verdana" w:hAnsi="Verdana"/>
                <w:sz w:val="20"/>
                <w:szCs w:val="20"/>
              </w:rPr>
              <w:t>.</w:t>
            </w:r>
          </w:p>
        </w:tc>
      </w:tr>
      <w:tr w:rsidR="009C22F7" w:rsidRPr="00BE536E" w14:paraId="65DC3F46" w14:textId="77777777" w:rsidTr="007838E0">
        <w:tc>
          <w:tcPr>
            <w:tcW w:w="2552" w:type="dxa"/>
            <w:shd w:val="clear" w:color="auto" w:fill="A6A6A6"/>
          </w:tcPr>
          <w:p w14:paraId="3CF3E1D5" w14:textId="77777777" w:rsidR="009C22F7" w:rsidRPr="00BE536E" w:rsidRDefault="009C22F7" w:rsidP="007838E0">
            <w:pPr>
              <w:spacing w:after="0" w:line="240" w:lineRule="auto"/>
              <w:jc w:val="both"/>
              <w:rPr>
                <w:rFonts w:ascii="Verdana" w:hAnsi="Verdana"/>
                <w:bCs/>
                <w:i/>
                <w:sz w:val="20"/>
                <w:szCs w:val="20"/>
              </w:rPr>
            </w:pPr>
            <w:r w:rsidRPr="00BE536E">
              <w:rPr>
                <w:rFonts w:ascii="Verdana" w:hAnsi="Verdana"/>
                <w:i/>
                <w:sz w:val="20"/>
                <w:szCs w:val="20"/>
              </w:rPr>
              <w:t>Дата и события, приводящего к обесценению</w:t>
            </w:r>
          </w:p>
        </w:tc>
        <w:tc>
          <w:tcPr>
            <w:tcW w:w="7513" w:type="dxa"/>
          </w:tcPr>
          <w:p w14:paraId="732B7960" w14:textId="77777777" w:rsidR="009C22F7" w:rsidRPr="00BE536E" w:rsidRDefault="009C22F7" w:rsidP="007838E0">
            <w:pPr>
              <w:spacing w:after="0" w:line="240" w:lineRule="auto"/>
              <w:ind w:left="34"/>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sz w:val="20"/>
                  <w:szCs w:val="20"/>
                </w:rPr>
                <w:t>Приложении 5</w:t>
              </w:r>
            </w:hyperlink>
            <w:r w:rsidRPr="00BE536E">
              <w:rPr>
                <w:rFonts w:ascii="Verdana" w:hAnsi="Verdana"/>
                <w:sz w:val="20"/>
                <w:szCs w:val="20"/>
              </w:rPr>
              <w:t>.</w:t>
            </w:r>
          </w:p>
        </w:tc>
      </w:tr>
    </w:tbl>
    <w:p w14:paraId="20EB2DB1" w14:textId="69E8DF9A" w:rsidR="00BC55FD" w:rsidRPr="00BC55FD" w:rsidRDefault="00BC55FD" w:rsidP="00BC55FD">
      <w:pPr>
        <w:pStyle w:val="ac"/>
        <w:autoSpaceDN w:val="0"/>
        <w:spacing w:line="360" w:lineRule="auto"/>
        <w:ind w:left="0"/>
        <w:rPr>
          <w:rFonts w:ascii="Verdana" w:hAnsi="Verdana" w:cs="Arial"/>
          <w:b/>
          <w:bCs/>
          <w:iCs/>
          <w:caps/>
          <w:smallCaps/>
          <w:color w:val="943634"/>
          <w:sz w:val="24"/>
          <w:szCs w:val="24"/>
        </w:rPr>
      </w:pPr>
      <w:bookmarkStart w:id="31" w:name="_Toc27400789"/>
      <w:r w:rsidRPr="00BC55FD">
        <w:rPr>
          <w:rFonts w:ascii="Verdana" w:hAnsi="Verdana" w:cs="Arial"/>
          <w:b/>
          <w:bCs/>
          <w:iCs/>
          <w:caps/>
          <w:smallCaps/>
          <w:color w:val="943634"/>
          <w:sz w:val="24"/>
          <w:szCs w:val="24"/>
        </w:rPr>
        <w:lastRenderedPageBreak/>
        <w:t>Приложение 2</w:t>
      </w:r>
      <w:r>
        <w:rPr>
          <w:rFonts w:ascii="Verdana" w:hAnsi="Verdana" w:cs="Arial"/>
          <w:b/>
          <w:bCs/>
          <w:iCs/>
          <w:caps/>
          <w:smallCaps/>
          <w:color w:val="943634"/>
          <w:sz w:val="24"/>
          <w:szCs w:val="24"/>
        </w:rPr>
        <w:t>9</w:t>
      </w:r>
      <w:r w:rsidRPr="00BC55FD">
        <w:rPr>
          <w:rFonts w:ascii="Verdana" w:hAnsi="Verdana" w:cs="Arial"/>
          <w:b/>
          <w:bCs/>
          <w:iCs/>
          <w:caps/>
          <w:smallCaps/>
          <w:color w:val="943634"/>
          <w:sz w:val="24"/>
          <w:szCs w:val="24"/>
        </w:rPr>
        <w:t xml:space="preserve">. ДРАГОЦЕННЫЕ МЕТАЛЛЫ И ТРЕБОВАНИЯ К КРЕДИТНОЙ ОРГАНИЗАЦИИ ВЫПЛАТИТЬ ДЕНЕЖНЫЙ ЭКВИВАЛЕНТ ДРАГОЦЕННЫХ МЕТАЛЛОВ </w:t>
      </w:r>
    </w:p>
    <w:tbl>
      <w:tblPr>
        <w:tblW w:w="5000" w:type="pct"/>
        <w:tblCellMar>
          <w:left w:w="0" w:type="dxa"/>
          <w:right w:w="0" w:type="dxa"/>
        </w:tblCellMar>
        <w:tblLook w:val="04A0" w:firstRow="1" w:lastRow="0" w:firstColumn="1" w:lastColumn="0" w:noHBand="0" w:noVBand="1"/>
      </w:tblPr>
      <w:tblGrid>
        <w:gridCol w:w="2164"/>
        <w:gridCol w:w="7646"/>
      </w:tblGrid>
      <w:tr w:rsidR="00BC55FD" w14:paraId="0DA842BE" w14:textId="77777777" w:rsidTr="00BC55FD">
        <w:trPr>
          <w:trHeight w:val="363"/>
        </w:trPr>
        <w:tc>
          <w:tcPr>
            <w:tcW w:w="1103" w:type="pct"/>
            <w:tcBorders>
              <w:top w:val="single" w:sz="8" w:space="0" w:color="auto"/>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7CD594CC"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Виды активов</w:t>
            </w:r>
          </w:p>
        </w:tc>
        <w:tc>
          <w:tcPr>
            <w:tcW w:w="38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BA49A7" w14:textId="77777777" w:rsidR="00BC55FD" w:rsidRDefault="00BC55FD">
            <w:pPr>
              <w:autoSpaceDE w:val="0"/>
              <w:autoSpaceDN w:val="0"/>
              <w:spacing w:line="252" w:lineRule="auto"/>
              <w:jc w:val="both"/>
              <w:rPr>
                <w:rFonts w:ascii="Times New Roman" w:hAnsi="Times New Roman"/>
                <w:color w:val="000000"/>
                <w:sz w:val="24"/>
                <w:szCs w:val="24"/>
              </w:rPr>
            </w:pPr>
            <w:r>
              <w:rPr>
                <w:color w:val="000000"/>
                <w:sz w:val="24"/>
                <w:szCs w:val="24"/>
              </w:rPr>
              <w:t>Драгоценные металлы и требования к кредитной организации выплатить денежный эквивалент драгоценных металлов</w:t>
            </w:r>
          </w:p>
        </w:tc>
      </w:tr>
      <w:tr w:rsidR="00BC55FD" w14:paraId="12AF2A26" w14:textId="77777777" w:rsidTr="00BC55FD">
        <w:trPr>
          <w:trHeight w:val="595"/>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0B1539E9"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Критерии признания</w:t>
            </w:r>
          </w:p>
        </w:tc>
        <w:tc>
          <w:tcPr>
            <w:tcW w:w="3897" w:type="pct"/>
            <w:tcBorders>
              <w:top w:val="nil"/>
              <w:left w:val="nil"/>
              <w:bottom w:val="single" w:sz="8" w:space="0" w:color="auto"/>
              <w:right w:val="single" w:sz="8" w:space="0" w:color="auto"/>
            </w:tcBorders>
            <w:tcMar>
              <w:top w:w="0" w:type="dxa"/>
              <w:left w:w="108" w:type="dxa"/>
              <w:bottom w:w="0" w:type="dxa"/>
              <w:right w:w="108" w:type="dxa"/>
            </w:tcMar>
            <w:hideMark/>
          </w:tcPr>
          <w:p w14:paraId="485B4CAD" w14:textId="77777777" w:rsidR="00BC55FD" w:rsidRDefault="00BC55FD">
            <w:pPr>
              <w:keepNext/>
              <w:spacing w:line="252" w:lineRule="auto"/>
              <w:ind w:firstLine="32"/>
              <w:jc w:val="both"/>
              <w:rPr>
                <w:rFonts w:ascii="Times New Roman" w:hAnsi="Times New Roman"/>
                <w:sz w:val="24"/>
                <w:szCs w:val="24"/>
              </w:rPr>
            </w:pPr>
            <w:r>
              <w:rPr>
                <w:b/>
                <w:bCs/>
                <w:sz w:val="24"/>
                <w:szCs w:val="24"/>
              </w:rPr>
              <w:t>для драгоценных металлов</w:t>
            </w:r>
            <w:r>
              <w:rPr>
                <w:sz w:val="24"/>
                <w:szCs w:val="24"/>
              </w:rPr>
              <w:t>:</w:t>
            </w:r>
          </w:p>
          <w:p w14:paraId="7199690E" w14:textId="77777777" w:rsidR="00BC55FD" w:rsidRDefault="00BC55FD">
            <w:pPr>
              <w:keepNext/>
              <w:spacing w:line="252" w:lineRule="auto"/>
              <w:ind w:firstLine="32"/>
              <w:jc w:val="both"/>
              <w:rPr>
                <w:rFonts w:cs="Calibri"/>
                <w:sz w:val="24"/>
                <w:szCs w:val="24"/>
              </w:rPr>
            </w:pPr>
            <w:r>
              <w:rPr>
                <w:sz w:val="24"/>
                <w:szCs w:val="24"/>
              </w:rPr>
              <w:t>- дата перехода права собственности, подтвержденная актом приема-передачи;</w:t>
            </w:r>
          </w:p>
          <w:p w14:paraId="2560209E" w14:textId="77777777" w:rsidR="00BC55FD" w:rsidRDefault="00BC55FD">
            <w:pPr>
              <w:autoSpaceDN w:val="0"/>
              <w:spacing w:line="252" w:lineRule="auto"/>
              <w:jc w:val="both"/>
              <w:rPr>
                <w:sz w:val="24"/>
                <w:szCs w:val="24"/>
              </w:rPr>
            </w:pPr>
            <w:r>
              <w:rPr>
                <w:b/>
                <w:bCs/>
                <w:sz w:val="24"/>
                <w:szCs w:val="24"/>
              </w:rPr>
              <w:t>для требований к кредитной организации выплатить денежный эквивалент драгоценных металлов</w:t>
            </w:r>
            <w:r>
              <w:rPr>
                <w:sz w:val="24"/>
                <w:szCs w:val="24"/>
              </w:rPr>
              <w:t>:</w:t>
            </w:r>
          </w:p>
          <w:p w14:paraId="73D021D7" w14:textId="77777777" w:rsidR="00BC55FD" w:rsidRDefault="00BC55FD">
            <w:pPr>
              <w:autoSpaceDE w:val="0"/>
              <w:autoSpaceDN w:val="0"/>
              <w:spacing w:line="252" w:lineRule="auto"/>
              <w:jc w:val="both"/>
              <w:rPr>
                <w:rFonts w:ascii="Times New Roman" w:hAnsi="Times New Roman"/>
                <w:color w:val="000000"/>
                <w:sz w:val="24"/>
                <w:szCs w:val="24"/>
              </w:rPr>
            </w:pPr>
            <w:r>
              <w:rPr>
                <w:sz w:val="24"/>
                <w:szCs w:val="24"/>
              </w:rPr>
              <w:t>- дата перехода прав собственности согласно выписке со счета кредитной организации о зачислении на металлический счет драгоценных металлов на основании договора</w:t>
            </w:r>
            <w:r>
              <w:rPr>
                <w:color w:val="000000"/>
                <w:sz w:val="24"/>
                <w:szCs w:val="24"/>
              </w:rPr>
              <w:t xml:space="preserve"> </w:t>
            </w:r>
          </w:p>
        </w:tc>
      </w:tr>
      <w:tr w:rsidR="00BC55FD" w14:paraId="4C294FEA" w14:textId="77777777" w:rsidTr="00BC55FD">
        <w:trPr>
          <w:trHeight w:val="2236"/>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64F09CCA"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Критерии прекращения признания</w:t>
            </w:r>
          </w:p>
        </w:tc>
        <w:tc>
          <w:tcPr>
            <w:tcW w:w="3897" w:type="pct"/>
            <w:tcBorders>
              <w:top w:val="nil"/>
              <w:left w:val="nil"/>
              <w:bottom w:val="single" w:sz="8" w:space="0" w:color="auto"/>
              <w:right w:val="single" w:sz="8" w:space="0" w:color="auto"/>
            </w:tcBorders>
            <w:tcMar>
              <w:top w:w="0" w:type="dxa"/>
              <w:left w:w="108" w:type="dxa"/>
              <w:bottom w:w="0" w:type="dxa"/>
              <w:right w:w="108" w:type="dxa"/>
            </w:tcMar>
          </w:tcPr>
          <w:p w14:paraId="7DBBD8EE" w14:textId="77777777" w:rsidR="00BC55FD" w:rsidRDefault="00BC55FD">
            <w:pPr>
              <w:keepNext/>
              <w:spacing w:line="252" w:lineRule="auto"/>
              <w:jc w:val="both"/>
              <w:rPr>
                <w:rFonts w:ascii="Times New Roman" w:hAnsi="Times New Roman"/>
                <w:sz w:val="24"/>
                <w:szCs w:val="24"/>
              </w:rPr>
            </w:pPr>
            <w:r>
              <w:rPr>
                <w:b/>
                <w:bCs/>
                <w:sz w:val="24"/>
                <w:szCs w:val="24"/>
              </w:rPr>
              <w:t>для драгоценных металлов</w:t>
            </w:r>
            <w:r>
              <w:rPr>
                <w:sz w:val="24"/>
                <w:szCs w:val="24"/>
              </w:rPr>
              <w:t>:</w:t>
            </w:r>
          </w:p>
          <w:p w14:paraId="2A7E23B7" w14:textId="77777777" w:rsidR="00BC55FD" w:rsidRDefault="00BC55FD">
            <w:pPr>
              <w:keepNext/>
              <w:spacing w:line="252" w:lineRule="auto"/>
              <w:jc w:val="both"/>
              <w:rPr>
                <w:rFonts w:cs="Calibri"/>
                <w:sz w:val="24"/>
                <w:szCs w:val="24"/>
              </w:rPr>
            </w:pPr>
            <w:r>
              <w:rPr>
                <w:sz w:val="24"/>
                <w:szCs w:val="24"/>
              </w:rPr>
              <w:t>- дата перехода права собственности, подтвержденная актом приема-передачи;</w:t>
            </w:r>
          </w:p>
          <w:p w14:paraId="442CE3B2" w14:textId="77777777" w:rsidR="00BC55FD" w:rsidRDefault="00BC55FD">
            <w:pPr>
              <w:keepNext/>
              <w:spacing w:line="252" w:lineRule="auto"/>
              <w:jc w:val="both"/>
              <w:rPr>
                <w:sz w:val="24"/>
                <w:szCs w:val="24"/>
              </w:rPr>
            </w:pPr>
            <w:r>
              <w:rPr>
                <w:b/>
                <w:bCs/>
                <w:sz w:val="24"/>
                <w:szCs w:val="24"/>
              </w:rPr>
              <w:t>для требований к кредитной организации выплатить денежный эквивалент драгоценных металлов</w:t>
            </w:r>
            <w:r>
              <w:rPr>
                <w:sz w:val="24"/>
                <w:szCs w:val="24"/>
              </w:rPr>
              <w:t xml:space="preserve">: </w:t>
            </w:r>
          </w:p>
          <w:p w14:paraId="0927F0B2" w14:textId="77777777" w:rsidR="00BC55FD" w:rsidRDefault="00BC55FD">
            <w:pPr>
              <w:keepNext/>
              <w:spacing w:line="252" w:lineRule="auto"/>
              <w:ind w:firstLine="709"/>
              <w:jc w:val="both"/>
              <w:rPr>
                <w:sz w:val="24"/>
                <w:szCs w:val="24"/>
              </w:rPr>
            </w:pPr>
            <w:r>
              <w:rPr>
                <w:sz w:val="24"/>
                <w:szCs w:val="24"/>
              </w:rPr>
              <w:t xml:space="preserve">- дата списания с металлического счета драгоценных металлов в   соответствии с условиями договора; </w:t>
            </w:r>
          </w:p>
          <w:p w14:paraId="5C4985A6" w14:textId="77777777" w:rsidR="00BC55FD" w:rsidRDefault="00BC55FD">
            <w:pPr>
              <w:keepNext/>
              <w:spacing w:line="252" w:lineRule="auto"/>
              <w:ind w:firstLine="709"/>
              <w:jc w:val="both"/>
              <w:rPr>
                <w:sz w:val="24"/>
                <w:szCs w:val="24"/>
              </w:rPr>
            </w:pPr>
            <w:r>
              <w:rPr>
                <w:sz w:val="24"/>
                <w:szCs w:val="24"/>
              </w:rPr>
              <w:t>- дата решения Банка России об отзыве лицензии банка (денежные средства переходят в статус прочей дебиторской задолженности);</w:t>
            </w:r>
          </w:p>
          <w:p w14:paraId="0B9918DC" w14:textId="77777777" w:rsidR="00BC55FD" w:rsidRDefault="00BC55FD">
            <w:pPr>
              <w:keepNext/>
              <w:spacing w:line="252" w:lineRule="auto"/>
              <w:ind w:firstLine="709"/>
              <w:jc w:val="both"/>
              <w:rPr>
                <w:sz w:val="24"/>
                <w:szCs w:val="24"/>
              </w:rPr>
            </w:pPr>
            <w:r>
              <w:rPr>
                <w:sz w:val="24"/>
                <w:szCs w:val="24"/>
              </w:rPr>
              <w:t>- дата ликвидации кредитной организации, в которой открыт металлический счет, информация о которой раскрыта в официальном доступном источнике.</w:t>
            </w:r>
          </w:p>
          <w:p w14:paraId="0B5B6473" w14:textId="77777777" w:rsidR="00BC55FD" w:rsidRDefault="00BC55FD">
            <w:pPr>
              <w:autoSpaceDE w:val="0"/>
              <w:autoSpaceDN w:val="0"/>
              <w:spacing w:line="252" w:lineRule="auto"/>
              <w:jc w:val="both"/>
              <w:rPr>
                <w:rFonts w:ascii="Times New Roman" w:hAnsi="Times New Roman"/>
                <w:color w:val="000000"/>
                <w:sz w:val="24"/>
                <w:szCs w:val="24"/>
              </w:rPr>
            </w:pPr>
          </w:p>
        </w:tc>
      </w:tr>
      <w:tr w:rsidR="00BC55FD" w14:paraId="68E18B1F" w14:textId="77777777" w:rsidTr="00BC55FD">
        <w:trPr>
          <w:trHeight w:val="541"/>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67EBB06D"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lastRenderedPageBreak/>
              <w:t>Справедливая стоимость</w:t>
            </w:r>
          </w:p>
        </w:tc>
        <w:tc>
          <w:tcPr>
            <w:tcW w:w="3897" w:type="pct"/>
            <w:tcBorders>
              <w:top w:val="nil"/>
              <w:left w:val="nil"/>
              <w:bottom w:val="single" w:sz="8" w:space="0" w:color="auto"/>
              <w:right w:val="single" w:sz="8" w:space="0" w:color="auto"/>
            </w:tcBorders>
            <w:tcMar>
              <w:top w:w="0" w:type="dxa"/>
              <w:left w:w="108" w:type="dxa"/>
              <w:bottom w:w="0" w:type="dxa"/>
              <w:right w:w="108" w:type="dxa"/>
            </w:tcMar>
          </w:tcPr>
          <w:p w14:paraId="57DC3F6E" w14:textId="77777777" w:rsidR="00BC55FD" w:rsidRDefault="00BC55FD">
            <w:pPr>
              <w:keepNext/>
              <w:spacing w:line="252" w:lineRule="auto"/>
              <w:ind w:firstLine="32"/>
              <w:jc w:val="both"/>
              <w:rPr>
                <w:rFonts w:ascii="Times New Roman" w:hAnsi="Times New Roman"/>
                <w:sz w:val="24"/>
                <w:szCs w:val="24"/>
              </w:rPr>
            </w:pPr>
            <w:r>
              <w:rPr>
                <w:sz w:val="24"/>
                <w:szCs w:val="24"/>
              </w:rPr>
              <w:t xml:space="preserve">Драгоценные металлы и требования к кредитной организации выплатить денежный эквивалент драгоценных металлов отражаются на дату определения СЧА по ценам Банка России. </w:t>
            </w:r>
          </w:p>
          <w:p w14:paraId="377A4623" w14:textId="77777777" w:rsidR="00BC55FD" w:rsidRDefault="00BC55FD">
            <w:pPr>
              <w:keepNext/>
              <w:autoSpaceDE w:val="0"/>
              <w:spacing w:line="252" w:lineRule="auto"/>
              <w:ind w:firstLine="709"/>
              <w:jc w:val="both"/>
              <w:rPr>
                <w:rFonts w:ascii="Times New Roman" w:hAnsi="Times New Roman"/>
                <w:color w:val="000000"/>
                <w:sz w:val="24"/>
                <w:szCs w:val="24"/>
              </w:rPr>
            </w:pPr>
          </w:p>
        </w:tc>
      </w:tr>
      <w:tr w:rsidR="00BC55FD" w14:paraId="7AA99C22" w14:textId="77777777" w:rsidTr="00BC55FD">
        <w:trPr>
          <w:trHeight w:val="541"/>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2FA31F5F"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Порядок корректировки стоимости активов</w:t>
            </w:r>
          </w:p>
        </w:tc>
        <w:tc>
          <w:tcPr>
            <w:tcW w:w="3897" w:type="pct"/>
            <w:tcBorders>
              <w:top w:val="nil"/>
              <w:left w:val="nil"/>
              <w:bottom w:val="single" w:sz="8" w:space="0" w:color="auto"/>
              <w:right w:val="single" w:sz="8" w:space="0" w:color="auto"/>
            </w:tcBorders>
            <w:tcMar>
              <w:top w:w="0" w:type="dxa"/>
              <w:left w:w="108" w:type="dxa"/>
              <w:bottom w:w="0" w:type="dxa"/>
              <w:right w:w="108" w:type="dxa"/>
            </w:tcMar>
          </w:tcPr>
          <w:p w14:paraId="1FF743B3" w14:textId="77777777" w:rsidR="00BC55FD" w:rsidRDefault="00BC55FD">
            <w:pPr>
              <w:keepNext/>
              <w:spacing w:line="252" w:lineRule="auto"/>
              <w:jc w:val="both"/>
              <w:rPr>
                <w:rFonts w:ascii="Times New Roman" w:hAnsi="Times New Roman"/>
                <w:sz w:val="24"/>
                <w:szCs w:val="24"/>
              </w:rPr>
            </w:pPr>
            <w:r>
              <w:rPr>
                <w:sz w:val="24"/>
                <w:szCs w:val="24"/>
              </w:rPr>
              <w:t>Справедливая стоимость драгоценных металлов признается равной 0 (Ноль) в случае наступления события, приводящего к признанию драгоценного металла непригодным для дальнейшего использования по целевому назначению - с даты получения официального документа о таком факте.</w:t>
            </w:r>
          </w:p>
          <w:p w14:paraId="6BECE8BD" w14:textId="77777777" w:rsidR="00BC55FD" w:rsidRDefault="00BC55FD">
            <w:pPr>
              <w:pStyle w:val="ac"/>
              <w:autoSpaceDN w:val="0"/>
              <w:spacing w:line="360" w:lineRule="auto"/>
              <w:rPr>
                <w:rFonts w:ascii="Times New Roman" w:hAnsi="Times New Roman"/>
                <w:sz w:val="24"/>
                <w:szCs w:val="24"/>
              </w:rPr>
            </w:pPr>
          </w:p>
        </w:tc>
      </w:tr>
    </w:tbl>
    <w:p w14:paraId="67D8CD02" w14:textId="77777777" w:rsidR="00BC55FD" w:rsidRDefault="009C22F7" w:rsidP="007838E0">
      <w:pPr>
        <w:pStyle w:val="10"/>
        <w:numPr>
          <w:ilvl w:val="0"/>
          <w:numId w:val="0"/>
        </w:numPr>
        <w:jc w:val="left"/>
        <w:rPr>
          <w:rFonts w:ascii="Verdana" w:hAnsi="Verdana" w:cs="Arial"/>
          <w:caps/>
          <w:color w:val="943634"/>
          <w:sz w:val="24"/>
        </w:rPr>
      </w:pPr>
      <w:r w:rsidRPr="00BE536E">
        <w:rPr>
          <w:rFonts w:ascii="Verdana" w:hAnsi="Verdana" w:cs="Arial"/>
          <w:caps/>
          <w:color w:val="943634"/>
          <w:sz w:val="24"/>
        </w:rPr>
        <w:br w:type="page"/>
      </w:r>
      <w:bookmarkEnd w:id="31"/>
    </w:p>
    <w:p w14:paraId="6886DF53" w14:textId="77777777" w:rsidR="00BC55FD" w:rsidRDefault="00BC55FD" w:rsidP="00BC55FD">
      <w:pPr>
        <w:pStyle w:val="10"/>
        <w:numPr>
          <w:ilvl w:val="0"/>
          <w:numId w:val="0"/>
        </w:numPr>
        <w:spacing w:before="0" w:after="0"/>
        <w:jc w:val="left"/>
        <w:rPr>
          <w:rFonts w:ascii="Verdana" w:hAnsi="Verdana" w:cs="Arial"/>
          <w:b w:val="0"/>
          <w:bCs w:val="0"/>
          <w:iCs w:val="0"/>
          <w:caps/>
          <w:smallCaps w:val="0"/>
          <w:color w:val="943634"/>
          <w:sz w:val="24"/>
        </w:rPr>
      </w:pPr>
    </w:p>
    <w:p w14:paraId="2872683B" w14:textId="277ED119" w:rsidR="004873E0" w:rsidRPr="00BE536E" w:rsidRDefault="004873E0" w:rsidP="00BC55FD">
      <w:pPr>
        <w:pStyle w:val="10"/>
        <w:numPr>
          <w:ilvl w:val="0"/>
          <w:numId w:val="0"/>
        </w:numPr>
        <w:spacing w:before="0" w:after="0"/>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F20F93">
        <w:rPr>
          <w:rFonts w:ascii="Verdana" w:hAnsi="Verdana" w:cs="Arial"/>
          <w:b w:val="0"/>
          <w:bCs w:val="0"/>
          <w:iCs w:val="0"/>
          <w:caps/>
          <w:smallCaps w:val="0"/>
          <w:color w:val="943634"/>
          <w:sz w:val="24"/>
        </w:rPr>
        <w:t>30</w:t>
      </w:r>
      <w:r w:rsidRPr="00BE536E">
        <w:rPr>
          <w:rFonts w:ascii="Verdana" w:hAnsi="Verdana" w:cs="Arial"/>
          <w:b w:val="0"/>
          <w:bCs w:val="0"/>
          <w:iCs w:val="0"/>
          <w:caps/>
          <w:smallCaps w:val="0"/>
          <w:color w:val="943634"/>
          <w:sz w:val="24"/>
        </w:rPr>
        <w:t xml:space="preserve">. </w:t>
      </w:r>
      <w:r w:rsidR="00D05311" w:rsidRPr="00BE536E">
        <w:rPr>
          <w:rFonts w:ascii="Verdana" w:hAnsi="Verdana" w:cs="Arial"/>
          <w:b w:val="0"/>
          <w:bCs w:val="0"/>
          <w:iCs w:val="0"/>
          <w:caps/>
          <w:smallCaps w:val="0"/>
          <w:color w:val="943634"/>
          <w:sz w:val="24"/>
        </w:rPr>
        <w:tab/>
      </w:r>
      <w:r w:rsidR="00D05311" w:rsidRPr="00BE536E">
        <w:rPr>
          <w:rFonts w:ascii="Verdana" w:hAnsi="Verdana" w:cs="Arial"/>
          <w:iCs w:val="0"/>
          <w:caps/>
          <w:smallCaps w:val="0"/>
          <w:color w:val="943634"/>
          <w:sz w:val="24"/>
        </w:rPr>
        <w:t xml:space="preserve">модель оценки для долговых ценных бумаг, номинированных в рублях </w:t>
      </w:r>
    </w:p>
    <w:p w14:paraId="4815791F" w14:textId="77777777" w:rsidR="00BA43DC" w:rsidRPr="00BE536E" w:rsidRDefault="00BA43DC" w:rsidP="00BA43DC">
      <w:pPr>
        <w:jc w:val="center"/>
        <w:rPr>
          <w:rFonts w:ascii="Verdana" w:hAnsi="Verdana"/>
          <w:sz w:val="20"/>
          <w:szCs w:val="20"/>
        </w:rPr>
      </w:pPr>
      <w:bookmarkStart w:id="32" w:name="_Toc467177597"/>
      <w:bookmarkStart w:id="33" w:name="_Toc473901525"/>
      <w:bookmarkStart w:id="34" w:name="_Toc27398198"/>
      <w:bookmarkStart w:id="35" w:name="_Hlk75289591"/>
      <w:r w:rsidRPr="00BE536E">
        <w:rPr>
          <w:rFonts w:ascii="Verdana" w:hAnsi="Verdana"/>
          <w:b/>
          <w:sz w:val="20"/>
          <w:szCs w:val="20"/>
        </w:rPr>
        <w:t xml:space="preserve">МЕТОДИКА ОПРЕДЕЛЕНИЯ РАСЧЕТНОЙ ЦЕНЫ </w:t>
      </w:r>
      <w:bookmarkEnd w:id="32"/>
      <w:bookmarkEnd w:id="33"/>
      <w:bookmarkEnd w:id="34"/>
      <w:r w:rsidRPr="00BE536E">
        <w:rPr>
          <w:rFonts w:ascii="Verdana" w:hAnsi="Verdana"/>
          <w:b/>
          <w:sz w:val="20"/>
          <w:szCs w:val="20"/>
        </w:rPr>
        <w:t>ДОЛГОВОЙ ЦЕННОЙ БУМАГИ</w:t>
      </w:r>
    </w:p>
    <w:p w14:paraId="7AD4845B" w14:textId="77777777" w:rsidR="00BA43DC" w:rsidRPr="00BE536E" w:rsidRDefault="00BA43DC" w:rsidP="00D05311">
      <w:pPr>
        <w:numPr>
          <w:ilvl w:val="1"/>
          <w:numId w:val="92"/>
        </w:numPr>
        <w:spacing w:after="0" w:line="312" w:lineRule="auto"/>
        <w:ind w:left="0" w:firstLine="0"/>
        <w:jc w:val="both"/>
        <w:rPr>
          <w:rFonts w:ascii="Verdana" w:hAnsi="Verdana"/>
          <w:b/>
          <w:sz w:val="20"/>
          <w:szCs w:val="20"/>
        </w:rPr>
      </w:pPr>
      <w:r w:rsidRPr="00BE536E">
        <w:rPr>
          <w:rFonts w:ascii="Verdana" w:hAnsi="Verdana"/>
          <w:b/>
          <w:sz w:val="20"/>
          <w:szCs w:val="20"/>
        </w:rPr>
        <w:t xml:space="preserve">Принципы определения расчетной цены </w:t>
      </w:r>
    </w:p>
    <w:p w14:paraId="45E69F0E"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В соответствии с настоящим пунктом определяется расчетная цена (цены) долговой ценной бумаги методом приведенной стоимости будущих денежных потоков по формуле (1):</w:t>
      </w:r>
    </w:p>
    <w:p w14:paraId="3B70A9A3" w14:textId="77777777" w:rsidR="00BA43DC" w:rsidRPr="00BE536E" w:rsidRDefault="00BA43DC" w:rsidP="00BA43DC">
      <w:pPr>
        <w:tabs>
          <w:tab w:val="left" w:pos="993"/>
        </w:tabs>
        <w:spacing w:line="312" w:lineRule="auto"/>
        <w:ind w:left="360"/>
        <w:jc w:val="both"/>
        <w:rPr>
          <w:rFonts w:ascii="Verdana" w:eastAsia="Batang" w:hAnsi="Verdana"/>
          <w:noProof/>
          <w:color w:val="000000"/>
          <w:sz w:val="20"/>
          <w:szCs w:val="20"/>
        </w:rPr>
      </w:pPr>
      <m:oMathPara>
        <m:oMathParaPr>
          <m:jc m:val="center"/>
        </m:oMathParaPr>
        <m:oMath>
          <m:r>
            <m:rPr>
              <m:sty m:val="p"/>
            </m:rPr>
            <w:rPr>
              <w:rFonts w:ascii="Cambria Math" w:eastAsia="Batang" w:hAnsi="Cambria Math"/>
              <w:color w:val="000000"/>
              <w:sz w:val="20"/>
              <w:szCs w:val="20"/>
              <w:lang w:val="en-US"/>
            </w:rPr>
            <m:t>PV</m:t>
          </m:r>
          <m:r>
            <m:rPr>
              <m:sty m:val="p"/>
            </m:rPr>
            <w:rPr>
              <w:rFonts w:ascii="Cambria Math" w:eastAsia="Batang" w:hAnsi="Cambria Math"/>
              <w:color w:val="000000"/>
              <w:sz w:val="20"/>
              <w:szCs w:val="20"/>
            </w:rPr>
            <m:t>=</m:t>
          </m:r>
          <m:nary>
            <m:naryPr>
              <m:chr m:val="∑"/>
              <m:limLoc m:val="undOvr"/>
              <m:ctrlPr>
                <w:rPr>
                  <w:rFonts w:ascii="Cambria Math" w:eastAsia="Batang" w:hAnsi="Cambria Math"/>
                  <w:color w:val="000000"/>
                  <w:sz w:val="20"/>
                  <w:szCs w:val="20"/>
                </w:rPr>
              </m:ctrlPr>
            </m:naryPr>
            <m:sub>
              <m:r>
                <w:rPr>
                  <w:rFonts w:ascii="Cambria Math" w:eastAsia="Batang" w:hAnsi="Cambria Math"/>
                  <w:color w:val="000000"/>
                  <w:sz w:val="20"/>
                  <w:szCs w:val="20"/>
                  <w:lang w:val="en-US"/>
                </w:rPr>
                <m:t>k=1</m:t>
              </m:r>
            </m:sub>
            <m:sup>
              <m:r>
                <w:rPr>
                  <w:rFonts w:ascii="Cambria Math" w:eastAsia="Batang" w:hAnsi="Cambria Math"/>
                  <w:color w:val="000000"/>
                  <w:sz w:val="20"/>
                  <w:szCs w:val="20"/>
                </w:rPr>
                <m:t>n</m:t>
              </m:r>
            </m:sup>
            <m:e>
              <m:f>
                <m:fPr>
                  <m:ctrlPr>
                    <w:rPr>
                      <w:rFonts w:ascii="Cambria Math" w:eastAsia="Batang" w:hAnsi="Cambria Math"/>
                      <w:i/>
                      <w:color w:val="000000"/>
                      <w:sz w:val="20"/>
                      <w:szCs w:val="20"/>
                    </w:rPr>
                  </m:ctrlPr>
                </m:fPr>
                <m:num>
                  <m:sSub>
                    <m:sSubPr>
                      <m:ctrlPr>
                        <w:rPr>
                          <w:rFonts w:ascii="Cambria Math" w:eastAsia="Batang" w:hAnsi="Cambria Math"/>
                          <w:i/>
                          <w:color w:val="000000"/>
                          <w:sz w:val="20"/>
                          <w:szCs w:val="20"/>
                        </w:rPr>
                      </m:ctrlPr>
                    </m:sSubPr>
                    <m:e>
                      <m:r>
                        <w:rPr>
                          <w:rFonts w:ascii="Cambria Math" w:eastAsia="Batang" w:hAnsi="Cambria Math"/>
                          <w:color w:val="000000"/>
                          <w:sz w:val="20"/>
                          <w:szCs w:val="20"/>
                          <w:lang w:val="en-US"/>
                        </w:rPr>
                        <m:t>CF</m:t>
                      </m:r>
                    </m:e>
                    <m:sub>
                      <m:r>
                        <w:rPr>
                          <w:rFonts w:ascii="Cambria Math" w:eastAsia="Batang" w:hAnsi="Cambria Math"/>
                          <w:color w:val="000000"/>
                          <w:sz w:val="20"/>
                          <w:szCs w:val="20"/>
                        </w:rPr>
                        <m:t>k</m:t>
                      </m:r>
                    </m:sub>
                  </m:sSub>
                </m:num>
                <m:den>
                  <m:sSup>
                    <m:sSupPr>
                      <m:ctrlPr>
                        <w:rPr>
                          <w:rFonts w:ascii="Cambria Math" w:eastAsia="Batang" w:hAnsi="Cambria Math"/>
                          <w:i/>
                          <w:color w:val="000000"/>
                          <w:sz w:val="20"/>
                          <w:szCs w:val="20"/>
                        </w:rPr>
                      </m:ctrlPr>
                    </m:sSupPr>
                    <m:e>
                      <m:r>
                        <w:rPr>
                          <w:rFonts w:ascii="Cambria Math" w:eastAsia="Batang" w:hAnsi="Cambria Math"/>
                          <w:color w:val="000000"/>
                          <w:sz w:val="20"/>
                          <w:szCs w:val="20"/>
                        </w:rPr>
                        <m:t>(1+Y)</m:t>
                      </m:r>
                    </m:e>
                    <m:sup>
                      <m:r>
                        <w:rPr>
                          <w:rFonts w:ascii="Cambria Math" w:eastAsia="Batang" w:hAnsi="Cambria Math"/>
                          <w:color w:val="000000"/>
                          <w:sz w:val="20"/>
                          <w:szCs w:val="20"/>
                        </w:rPr>
                        <m:t>(Dk-</m:t>
                      </m:r>
                      <m:r>
                        <w:rPr>
                          <w:rFonts w:ascii="Cambria Math" w:eastAsia="Batang" w:hAnsi="Cambria Math" w:hint="eastAsia"/>
                          <w:color w:val="000000"/>
                          <w:sz w:val="20"/>
                          <w:szCs w:val="20"/>
                        </w:rPr>
                        <m:t>Дата</m:t>
                      </m:r>
                      <m:r>
                        <w:rPr>
                          <w:rFonts w:ascii="Cambria Math" w:eastAsia="Batang" w:hAnsi="Cambria Math"/>
                          <w:color w:val="000000"/>
                          <w:sz w:val="20"/>
                          <w:szCs w:val="20"/>
                        </w:rPr>
                        <m:t>)/365</m:t>
                      </m:r>
                    </m:sup>
                  </m:sSup>
                </m:den>
              </m:f>
            </m:e>
          </m:nary>
          <m:r>
            <w:rPr>
              <w:rFonts w:ascii="Cambria Math" w:hAnsi="Cambria Math"/>
              <w:sz w:val="20"/>
              <w:szCs w:val="20"/>
            </w:rPr>
            <m:t>,                                     (1)</m:t>
          </m:r>
        </m:oMath>
      </m:oMathPara>
    </w:p>
    <w:p w14:paraId="6C28ABFA"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6F5A86E2" w14:textId="77777777" w:rsidR="00BA43DC" w:rsidRPr="00BE536E" w:rsidRDefault="00BA43DC" w:rsidP="00BA43DC">
      <w:pPr>
        <w:spacing w:after="0" w:line="312" w:lineRule="auto"/>
        <w:ind w:left="2552" w:hanging="1134"/>
        <w:jc w:val="both"/>
        <w:rPr>
          <w:rFonts w:ascii="Verdana" w:hAnsi="Verdana"/>
          <w:sz w:val="20"/>
          <w:szCs w:val="20"/>
        </w:rPr>
      </w:pPr>
      <m:oMath>
        <m:r>
          <w:rPr>
            <w:rFonts w:ascii="Cambria Math" w:hAnsi="Cambria Math"/>
            <w:sz w:val="20"/>
            <w:szCs w:val="20"/>
          </w:rPr>
          <m:t>C</m:t>
        </m:r>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k</m:t>
            </m:r>
          </m:sub>
        </m:sSub>
      </m:oMath>
      <w:r w:rsidRPr="00BE536E">
        <w:rPr>
          <w:rFonts w:ascii="Verdana" w:hAnsi="Verdana"/>
          <w:sz w:val="20"/>
          <w:szCs w:val="20"/>
        </w:rPr>
        <w:tab/>
      </w:r>
      <w:r w:rsidRPr="00BE536E">
        <w:rPr>
          <w:rFonts w:ascii="Verdana" w:hAnsi="Verdana"/>
          <w:sz w:val="20"/>
          <w:szCs w:val="20"/>
        </w:rPr>
        <w:tab/>
        <w:t>- сумма каждого денежного потока, определенная согласно п. 1.2.;</w:t>
      </w:r>
    </w:p>
    <w:p w14:paraId="7EF5900C" w14:textId="77777777" w:rsidR="00BA43DC" w:rsidRPr="00BE536E" w:rsidRDefault="00A3154D" w:rsidP="00BA43DC">
      <w:pPr>
        <w:spacing w:after="0" w:line="312" w:lineRule="auto"/>
        <w:ind w:left="2552" w:hanging="1134"/>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k</m:t>
            </m:r>
          </m:sub>
        </m:sSub>
      </m:oMath>
      <w:r w:rsidR="00BA43DC" w:rsidRPr="00BE536E">
        <w:rPr>
          <w:rFonts w:ascii="Verdana" w:hAnsi="Verdana"/>
          <w:sz w:val="20"/>
          <w:szCs w:val="20"/>
        </w:rPr>
        <w:tab/>
      </w:r>
      <w:r w:rsidR="00BA43DC" w:rsidRPr="00BE536E">
        <w:rPr>
          <w:rFonts w:ascii="Verdana" w:hAnsi="Verdana"/>
          <w:sz w:val="20"/>
          <w:szCs w:val="20"/>
        </w:rPr>
        <w:tab/>
        <w:t>- дата каждого денежного потока, определенная согласно п. 1.2.;</w:t>
      </w:r>
    </w:p>
    <w:p w14:paraId="2DA4179E" w14:textId="77777777" w:rsidR="00BA43DC" w:rsidRPr="00BE536E" w:rsidRDefault="00BA43DC" w:rsidP="00BA43DC">
      <w:pPr>
        <w:spacing w:after="0" w:line="312" w:lineRule="auto"/>
        <w:ind w:left="2552" w:hanging="1134"/>
        <w:jc w:val="both"/>
        <w:rPr>
          <w:rFonts w:ascii="Verdana" w:hAnsi="Verdana"/>
          <w:sz w:val="20"/>
          <w:szCs w:val="20"/>
        </w:rPr>
      </w:pPr>
      <m:oMath>
        <m:r>
          <w:rPr>
            <w:rFonts w:ascii="Cambria Math" w:hAnsi="Cambria Math"/>
            <w:sz w:val="20"/>
            <w:szCs w:val="20"/>
            <w:lang w:val="en-US"/>
          </w:rPr>
          <m:t>Y</m:t>
        </m:r>
      </m:oMath>
      <w:r w:rsidRPr="00BE536E">
        <w:rPr>
          <w:rFonts w:ascii="Verdana" w:hAnsi="Verdana"/>
          <w:sz w:val="20"/>
          <w:szCs w:val="20"/>
        </w:rPr>
        <w:tab/>
      </w:r>
      <w:r w:rsidRPr="00BE536E">
        <w:rPr>
          <w:rFonts w:ascii="Verdana" w:hAnsi="Verdana"/>
          <w:sz w:val="20"/>
          <w:szCs w:val="20"/>
        </w:rPr>
        <w:tab/>
        <w:t>- ставка дисконтирования, определенная согласно п.1.3.;</w:t>
      </w:r>
    </w:p>
    <w:p w14:paraId="0B2ADA99" w14:textId="77777777" w:rsidR="00BA43DC" w:rsidRPr="00BE536E" w:rsidRDefault="00BA43DC" w:rsidP="00BA43DC">
      <w:pPr>
        <w:spacing w:after="0" w:line="312" w:lineRule="auto"/>
        <w:ind w:left="2552" w:hanging="1134"/>
        <w:jc w:val="both"/>
        <w:rPr>
          <w:rFonts w:ascii="Verdana" w:hAnsi="Verdana"/>
          <w:sz w:val="20"/>
          <w:szCs w:val="20"/>
        </w:rPr>
      </w:pPr>
      <w:r w:rsidRPr="00BE536E">
        <w:rPr>
          <w:rFonts w:ascii="Verdana" w:hAnsi="Verdana"/>
          <w:i/>
          <w:sz w:val="20"/>
          <w:szCs w:val="20"/>
        </w:rPr>
        <w:t>Дата</w:t>
      </w:r>
      <w:r w:rsidRPr="00BE536E">
        <w:rPr>
          <w:rFonts w:ascii="Verdana" w:hAnsi="Verdana"/>
          <w:i/>
          <w:sz w:val="20"/>
          <w:szCs w:val="20"/>
        </w:rPr>
        <w:tab/>
      </w:r>
      <w:r w:rsidRPr="00BE536E">
        <w:rPr>
          <w:rFonts w:ascii="Verdana" w:hAnsi="Verdana"/>
          <w:i/>
          <w:sz w:val="20"/>
          <w:szCs w:val="20"/>
        </w:rPr>
        <w:tab/>
      </w:r>
      <w:r w:rsidRPr="00BE536E">
        <w:rPr>
          <w:rFonts w:ascii="Verdana" w:hAnsi="Verdana"/>
          <w:sz w:val="20"/>
          <w:szCs w:val="20"/>
        </w:rPr>
        <w:t>- дата определения справедливой стоимости.</w:t>
      </w:r>
    </w:p>
    <w:p w14:paraId="0610DD07" w14:textId="77777777" w:rsidR="00BA43DC" w:rsidRPr="00BE536E" w:rsidRDefault="00BA43DC" w:rsidP="00BA43DC">
      <w:pPr>
        <w:spacing w:after="0" w:line="312" w:lineRule="auto"/>
        <w:jc w:val="both"/>
        <w:rPr>
          <w:rFonts w:ascii="Verdana" w:hAnsi="Verdana"/>
          <w:i/>
          <w:sz w:val="20"/>
          <w:szCs w:val="20"/>
        </w:rPr>
      </w:pPr>
    </w:p>
    <w:p w14:paraId="4FFC06EC"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12A25A1D"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При расчете используются следующие подходы к округлению:</w:t>
      </w:r>
    </w:p>
    <w:p w14:paraId="7967BDDC" w14:textId="77777777" w:rsidR="00BA43DC" w:rsidRPr="00BE536E" w:rsidRDefault="00BA43DC" w:rsidP="00BA43DC">
      <w:pPr>
        <w:spacing w:after="0" w:line="312" w:lineRule="auto"/>
        <w:ind w:left="1080"/>
        <w:jc w:val="both"/>
        <w:rPr>
          <w:rFonts w:ascii="Verdana" w:hAnsi="Verdana"/>
          <w:sz w:val="20"/>
          <w:szCs w:val="20"/>
        </w:rPr>
      </w:pPr>
      <w:r w:rsidRPr="00BE536E">
        <w:rPr>
          <w:rFonts w:ascii="Verdana" w:hAnsi="Verdana"/>
          <w:sz w:val="20"/>
          <w:szCs w:val="20"/>
        </w:rPr>
        <w:t>округления производятся по правилам математического округления;</w:t>
      </w:r>
    </w:p>
    <w:p w14:paraId="1BEB8B06" w14:textId="77777777" w:rsidR="00BA43DC" w:rsidRPr="00BE536E" w:rsidRDefault="00BA43DC" w:rsidP="00BA43DC">
      <w:pPr>
        <w:spacing w:after="0" w:line="312" w:lineRule="auto"/>
        <w:ind w:left="1080"/>
        <w:jc w:val="both"/>
        <w:rPr>
          <w:rFonts w:ascii="Verdana" w:hAnsi="Verdana"/>
          <w:sz w:val="20"/>
          <w:szCs w:val="20"/>
        </w:rPr>
      </w:pPr>
      <m:oMath>
        <m:r>
          <w:rPr>
            <w:rFonts w:ascii="Cambria Math" w:hAnsi="Cambria Math"/>
            <w:sz w:val="20"/>
            <w:szCs w:val="20"/>
          </w:rPr>
          <m:t>C</m:t>
        </m:r>
        <m:sSub>
          <m:sSubPr>
            <m:ctrlPr>
              <w:rPr>
                <w:rFonts w:ascii="Cambria Math" w:eastAsia="Times New Roman" w:hAnsi="Cambria Math"/>
                <w:i/>
                <w:sz w:val="20"/>
                <w:szCs w:val="20"/>
              </w:rPr>
            </m:ctrlPr>
          </m:sSubPr>
          <m:e>
            <m:r>
              <w:rPr>
                <w:rFonts w:ascii="Cambria Math" w:hAnsi="Cambria Math"/>
                <w:sz w:val="20"/>
                <w:szCs w:val="20"/>
              </w:rPr>
              <m:t>F</m:t>
            </m:r>
          </m:e>
          <m:sub>
            <m:r>
              <w:rPr>
                <w:rFonts w:ascii="Cambria Math" w:hAnsi="Cambria Math"/>
                <w:sz w:val="20"/>
                <w:szCs w:val="20"/>
              </w:rPr>
              <m:t>k</m:t>
            </m:r>
          </m:sub>
        </m:sSub>
      </m:oMath>
      <w:r w:rsidRPr="00BE536E">
        <w:rPr>
          <w:rFonts w:ascii="Verdana" w:hAnsi="Verdana"/>
          <w:sz w:val="20"/>
          <w:szCs w:val="20"/>
        </w:rPr>
        <w:t xml:space="preserve"> - будущий денежный поток, значение округляется до 2 знаков после запятой;</w:t>
      </w:r>
    </w:p>
    <w:p w14:paraId="36412073" w14:textId="77777777" w:rsidR="00BA43DC" w:rsidRPr="00BE536E" w:rsidRDefault="00A3154D" w:rsidP="00BA43DC">
      <w:pPr>
        <w:spacing w:after="0" w:line="312" w:lineRule="auto"/>
        <w:ind w:left="1080"/>
        <w:jc w:val="both"/>
        <w:rPr>
          <w:rFonts w:ascii="Verdana" w:hAnsi="Verdana"/>
          <w:sz w:val="20"/>
          <w:szCs w:val="20"/>
        </w:rPr>
      </w:pPr>
      <m:oMath>
        <m:sSub>
          <m:sSubPr>
            <m:ctrlPr>
              <w:rPr>
                <w:rFonts w:ascii="Cambria Math" w:eastAsia="Times New Roman" w:hAnsi="Cambria Math"/>
                <w:i/>
                <w:sz w:val="20"/>
                <w:szCs w:val="20"/>
              </w:rPr>
            </m:ctrlPr>
          </m:sSubPr>
          <m:e>
            <m:r>
              <w:rPr>
                <w:rFonts w:ascii="Cambria Math" w:eastAsia="Times New Roman" w:hAnsi="Cambria Math"/>
                <w:sz w:val="20"/>
                <w:szCs w:val="20"/>
              </w:rPr>
              <m:t>PV</m:t>
            </m:r>
          </m:e>
          <m:sub>
            <m:r>
              <w:rPr>
                <w:rFonts w:ascii="Cambria Math" w:hAnsi="Cambria Math"/>
                <w:sz w:val="20"/>
                <w:szCs w:val="20"/>
              </w:rPr>
              <m:t>k</m:t>
            </m:r>
          </m:sub>
        </m:sSub>
      </m:oMath>
      <w:r w:rsidR="00BA43DC" w:rsidRPr="00BE536E">
        <w:rPr>
          <w:rFonts w:ascii="Verdana" w:hAnsi="Verdana"/>
          <w:sz w:val="20"/>
          <w:szCs w:val="20"/>
        </w:rPr>
        <w:t xml:space="preserve"> - дисконтированный денежный поток, промежуточные округления не производятся, результат не округляется;</w:t>
      </w:r>
    </w:p>
    <w:p w14:paraId="7B86A940" w14:textId="77777777" w:rsidR="00BA43DC" w:rsidRPr="00BE536E" w:rsidRDefault="00BA43DC" w:rsidP="00BA43DC">
      <w:pPr>
        <w:spacing w:after="0" w:line="312" w:lineRule="auto"/>
        <w:ind w:left="1080"/>
        <w:jc w:val="both"/>
        <w:rPr>
          <w:rFonts w:ascii="Verdana" w:hAnsi="Verdana"/>
          <w:sz w:val="20"/>
          <w:szCs w:val="20"/>
        </w:rPr>
      </w:pPr>
      <m:oMath>
        <m:r>
          <w:rPr>
            <w:rFonts w:ascii="Cambria Math" w:eastAsia="Times New Roman" w:hAnsi="Cambria Math"/>
            <w:sz w:val="20"/>
            <w:szCs w:val="20"/>
          </w:rPr>
          <m:t>PV</m:t>
        </m:r>
      </m:oMath>
      <w:r w:rsidRPr="00BE536E">
        <w:rPr>
          <w:rFonts w:ascii="Verdana" w:hAnsi="Verdana"/>
          <w:i/>
          <w:sz w:val="20"/>
          <w:szCs w:val="20"/>
        </w:rPr>
        <w:t xml:space="preserve"> – </w:t>
      </w:r>
      <w:r w:rsidRPr="00BE536E">
        <w:rPr>
          <w:rFonts w:ascii="Verdana" w:hAnsi="Verdana"/>
          <w:sz w:val="20"/>
          <w:szCs w:val="20"/>
        </w:rPr>
        <w:t>общая сумма дисконтированных денежных потоков, результат округляется до 4 знаков после запятой.</w:t>
      </w:r>
    </w:p>
    <w:p w14:paraId="7817F568" w14:textId="77777777" w:rsidR="00BA43DC" w:rsidRPr="00BE536E" w:rsidRDefault="00BA43DC" w:rsidP="00BA43DC">
      <w:pPr>
        <w:spacing w:after="0" w:line="312" w:lineRule="auto"/>
        <w:ind w:left="1440"/>
        <w:jc w:val="both"/>
        <w:rPr>
          <w:rFonts w:ascii="Verdana" w:hAnsi="Verdana"/>
          <w:sz w:val="20"/>
          <w:szCs w:val="20"/>
        </w:rPr>
      </w:pPr>
    </w:p>
    <w:p w14:paraId="4A2E8C0B" w14:textId="77777777" w:rsidR="00BA43DC" w:rsidRPr="00BE536E" w:rsidRDefault="00BA43DC" w:rsidP="00D05311">
      <w:pPr>
        <w:numPr>
          <w:ilvl w:val="1"/>
          <w:numId w:val="92"/>
        </w:numPr>
        <w:spacing w:after="0" w:line="312" w:lineRule="auto"/>
        <w:ind w:left="0" w:firstLine="0"/>
        <w:jc w:val="both"/>
        <w:rPr>
          <w:rFonts w:ascii="Verdana" w:hAnsi="Verdana"/>
          <w:b/>
          <w:sz w:val="20"/>
          <w:szCs w:val="20"/>
        </w:rPr>
      </w:pPr>
      <w:r w:rsidRPr="00BE536E">
        <w:rPr>
          <w:rFonts w:ascii="Verdana" w:hAnsi="Verdana"/>
          <w:b/>
          <w:sz w:val="20"/>
          <w:szCs w:val="20"/>
        </w:rPr>
        <w:t>Формирование графика будущих денежных потоков</w:t>
      </w:r>
    </w:p>
    <w:p w14:paraId="76BF662C" w14:textId="77777777" w:rsidR="00BA43DC" w:rsidRPr="00BE536E" w:rsidRDefault="00BA43DC" w:rsidP="00D05311">
      <w:pPr>
        <w:numPr>
          <w:ilvl w:val="2"/>
          <w:numId w:val="92"/>
        </w:numPr>
        <w:spacing w:after="0" w:line="312" w:lineRule="auto"/>
        <w:jc w:val="both"/>
        <w:rPr>
          <w:rFonts w:ascii="Verdana" w:hAnsi="Verdana"/>
          <w:sz w:val="20"/>
          <w:szCs w:val="20"/>
        </w:rPr>
      </w:pPr>
      <w:r w:rsidRPr="00BE536E">
        <w:rPr>
          <w:rFonts w:ascii="Verdana" w:hAnsi="Verdana"/>
          <w:sz w:val="20"/>
          <w:szCs w:val="20"/>
        </w:rPr>
        <w:t>Общие подходы.</w:t>
      </w:r>
    </w:p>
    <w:p w14:paraId="27BFA092"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формировании графика будущих денежных потоков учитываются все денежные потоки в погашение основного долга и купонного дохода в течение ожидаемого срока обращения.</w:t>
      </w:r>
    </w:p>
    <w:p w14:paraId="7D7FBACE"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Ожидаемый срок обращения ценной бумаги определяется с даты расчета справедливой стоимости (не включая) до наименьшей из дат (включая):</w:t>
      </w:r>
    </w:p>
    <w:p w14:paraId="282E72C3" w14:textId="77777777" w:rsidR="00BA43DC" w:rsidRPr="00BE536E" w:rsidRDefault="00BA43DC" w:rsidP="00D05311">
      <w:pPr>
        <w:numPr>
          <w:ilvl w:val="0"/>
          <w:numId w:val="93"/>
        </w:numPr>
        <w:spacing w:after="0" w:line="312" w:lineRule="auto"/>
        <w:jc w:val="both"/>
        <w:rPr>
          <w:rFonts w:ascii="Verdana" w:hAnsi="Verdana"/>
          <w:sz w:val="20"/>
          <w:szCs w:val="20"/>
        </w:rPr>
      </w:pPr>
      <w:r w:rsidRPr="00BE536E">
        <w:rPr>
          <w:rFonts w:ascii="Verdana" w:hAnsi="Verdana"/>
          <w:sz w:val="20"/>
          <w:szCs w:val="20"/>
        </w:rPr>
        <w:t>даты оферты, ближайшей к дате определения справедливой стоимости (не включая дату определения справедливой стоимости);</w:t>
      </w:r>
    </w:p>
    <w:p w14:paraId="18F57B7C" w14:textId="77777777" w:rsidR="00BA43DC" w:rsidRPr="00BE536E" w:rsidRDefault="00BA43DC" w:rsidP="00D05311">
      <w:pPr>
        <w:numPr>
          <w:ilvl w:val="0"/>
          <w:numId w:val="93"/>
        </w:numPr>
        <w:spacing w:after="120" w:line="312" w:lineRule="auto"/>
        <w:jc w:val="both"/>
        <w:rPr>
          <w:rFonts w:ascii="Verdana" w:hAnsi="Verdana"/>
          <w:sz w:val="20"/>
          <w:szCs w:val="20"/>
        </w:rPr>
      </w:pPr>
      <w:r w:rsidRPr="00BE536E">
        <w:rPr>
          <w:rFonts w:ascii="Verdana" w:hAnsi="Verdana"/>
          <w:sz w:val="20"/>
          <w:szCs w:val="20"/>
        </w:rPr>
        <w:t xml:space="preserve">даты полного погашения, предусмотренной условиями выпуска. </w:t>
      </w:r>
    </w:p>
    <w:p w14:paraId="1C8EF2F4" w14:textId="77777777" w:rsidR="00BA43DC" w:rsidRPr="00BE536E" w:rsidRDefault="00BA43DC" w:rsidP="00BA43DC">
      <w:pPr>
        <w:spacing w:after="0" w:line="312" w:lineRule="auto"/>
        <w:ind w:left="709"/>
        <w:jc w:val="both"/>
        <w:rPr>
          <w:rFonts w:ascii="Verdana" w:hAnsi="Verdana"/>
          <w:sz w:val="20"/>
          <w:szCs w:val="20"/>
        </w:rPr>
      </w:pPr>
      <w:r w:rsidRPr="00BE536E">
        <w:rPr>
          <w:rFonts w:ascii="Verdana" w:hAnsi="Verdana"/>
          <w:sz w:val="20"/>
          <w:szCs w:val="20"/>
        </w:rPr>
        <w:t>Под датой денежного потока понимается:</w:t>
      </w:r>
    </w:p>
    <w:p w14:paraId="330B493E" w14:textId="77777777" w:rsidR="00BA43DC" w:rsidRPr="00BE536E" w:rsidRDefault="00BA43DC" w:rsidP="00D05311">
      <w:pPr>
        <w:numPr>
          <w:ilvl w:val="0"/>
          <w:numId w:val="94"/>
        </w:numPr>
        <w:spacing w:after="0" w:line="312" w:lineRule="auto"/>
        <w:jc w:val="both"/>
        <w:rPr>
          <w:rFonts w:ascii="Verdana" w:hAnsi="Verdana"/>
          <w:sz w:val="20"/>
          <w:szCs w:val="20"/>
        </w:rPr>
      </w:pPr>
      <w:r w:rsidRPr="00BE536E">
        <w:rPr>
          <w:rFonts w:ascii="Verdana" w:hAnsi="Verdana"/>
          <w:sz w:val="20"/>
          <w:szCs w:val="20"/>
        </w:rPr>
        <w:t>даты окончания купонных периодов, по завершении которых в соответствии с условиями выпуска осуществляются выплаты купонного дохода и (если предусмотрено) частичное погашение основного долга;</w:t>
      </w:r>
    </w:p>
    <w:p w14:paraId="530597C1" w14:textId="77777777" w:rsidR="00BA43DC" w:rsidRPr="00BE536E" w:rsidRDefault="00BA43DC" w:rsidP="00D05311">
      <w:pPr>
        <w:numPr>
          <w:ilvl w:val="0"/>
          <w:numId w:val="94"/>
        </w:numPr>
        <w:spacing w:after="120" w:line="312" w:lineRule="auto"/>
        <w:jc w:val="both"/>
        <w:rPr>
          <w:rFonts w:ascii="Verdana" w:hAnsi="Verdana"/>
          <w:sz w:val="20"/>
          <w:szCs w:val="20"/>
        </w:rPr>
      </w:pPr>
      <w:r w:rsidRPr="00BE536E">
        <w:rPr>
          <w:rFonts w:ascii="Verdana" w:hAnsi="Verdana"/>
          <w:sz w:val="20"/>
          <w:szCs w:val="20"/>
        </w:rPr>
        <w:t>дата, до которой определен ожидаемый срок обращения.</w:t>
      </w:r>
    </w:p>
    <w:p w14:paraId="189BA4DA"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lastRenderedPageBreak/>
        <w:t>Денежные потоки, включая купонный доход, рассчитываются в соответствии с условиями выпуска.</w:t>
      </w:r>
    </w:p>
    <w:p w14:paraId="260FFB97"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формировании графика денежных потоков в целях расчета справедливой стоимости ценных бумаг осуществляется пересмотр будущих денежных потоков при наличии обновленной информации</w:t>
      </w:r>
      <w:r w:rsidRPr="00BE536E">
        <w:rPr>
          <w:rStyle w:val="ab"/>
          <w:rFonts w:ascii="Verdana" w:hAnsi="Verdana"/>
        </w:rPr>
        <w:footnoteReference w:id="34"/>
      </w:r>
      <w:r w:rsidRPr="00BE536E">
        <w:rPr>
          <w:rFonts w:ascii="Verdana" w:hAnsi="Verdana"/>
          <w:sz w:val="20"/>
          <w:szCs w:val="20"/>
        </w:rPr>
        <w:t>:</w:t>
      </w:r>
    </w:p>
    <w:p w14:paraId="4E3392C4" w14:textId="77777777" w:rsidR="00BA43DC" w:rsidRPr="00BE536E" w:rsidRDefault="00BA43DC" w:rsidP="00D05311">
      <w:pPr>
        <w:numPr>
          <w:ilvl w:val="0"/>
          <w:numId w:val="95"/>
        </w:numPr>
        <w:spacing w:after="0" w:line="312" w:lineRule="auto"/>
        <w:ind w:left="993"/>
        <w:jc w:val="both"/>
        <w:rPr>
          <w:rFonts w:ascii="Verdana" w:hAnsi="Verdana"/>
          <w:sz w:val="20"/>
          <w:szCs w:val="20"/>
        </w:rPr>
      </w:pPr>
      <w:r w:rsidRPr="00BE536E">
        <w:rPr>
          <w:rFonts w:ascii="Verdana" w:hAnsi="Verdana"/>
          <w:sz w:val="20"/>
          <w:szCs w:val="20"/>
        </w:rPr>
        <w:t>о величине ставки купона (для ценных бумаг, по которым процентные ставки не определены на весь ожидаемый срок обращения) – новое значение ставки купона считается установленным в дату начала купонного периода, ближайшего к дате установления ставки (купонного периода, на который ставка установлена, или более раннего купонного периода, до начала которого ставка установлена);</w:t>
      </w:r>
    </w:p>
    <w:p w14:paraId="2B924AE9" w14:textId="77777777" w:rsidR="00BA43DC" w:rsidRPr="00BE536E" w:rsidRDefault="00BA43DC" w:rsidP="00D05311">
      <w:pPr>
        <w:numPr>
          <w:ilvl w:val="0"/>
          <w:numId w:val="95"/>
        </w:numPr>
        <w:spacing w:after="120" w:line="312" w:lineRule="auto"/>
        <w:ind w:left="993"/>
        <w:jc w:val="both"/>
        <w:rPr>
          <w:rFonts w:ascii="Verdana" w:hAnsi="Verdana"/>
          <w:sz w:val="20"/>
          <w:szCs w:val="20"/>
        </w:rPr>
      </w:pPr>
      <w:r w:rsidRPr="00BE536E">
        <w:rPr>
          <w:rFonts w:ascii="Verdana" w:hAnsi="Verdana"/>
          <w:sz w:val="20"/>
          <w:szCs w:val="20"/>
        </w:rPr>
        <w:t>о величине погашаемой части основного долга (для ценных бумаг, по которым предусмотрено частичное погашение основного долга, но суммы погашаемых частей основного долга не определены на весь ожидаемый срок обращения) – новые величины основного долга считаются установленными в дату окончания купонного периода, по истечении которого производится соответствующая выплата ранее неизвестной суммы</w:t>
      </w:r>
      <w:r w:rsidRPr="00BE536E">
        <w:rPr>
          <w:rStyle w:val="ab"/>
          <w:rFonts w:ascii="Verdana" w:hAnsi="Verdana"/>
        </w:rPr>
        <w:footnoteReference w:id="35"/>
      </w:r>
      <w:r w:rsidRPr="00BE536E">
        <w:rPr>
          <w:rFonts w:ascii="Verdana" w:hAnsi="Verdana"/>
          <w:sz w:val="20"/>
          <w:szCs w:val="20"/>
        </w:rPr>
        <w:t xml:space="preserve"> (за исключением ценных бумаг с индексируемым номиналом);</w:t>
      </w:r>
    </w:p>
    <w:p w14:paraId="2650A117" w14:textId="77777777" w:rsidR="00BA43DC" w:rsidRPr="00BE536E" w:rsidRDefault="00BA43DC" w:rsidP="00D05311">
      <w:pPr>
        <w:numPr>
          <w:ilvl w:val="0"/>
          <w:numId w:val="95"/>
        </w:numPr>
        <w:spacing w:after="120" w:line="312" w:lineRule="auto"/>
        <w:ind w:left="993"/>
        <w:jc w:val="both"/>
        <w:rPr>
          <w:rFonts w:ascii="Verdana" w:hAnsi="Verdana"/>
          <w:sz w:val="20"/>
          <w:szCs w:val="20"/>
        </w:rPr>
      </w:pPr>
      <w:r w:rsidRPr="00BE536E">
        <w:rPr>
          <w:rFonts w:ascii="Verdana" w:hAnsi="Verdana"/>
          <w:sz w:val="20"/>
          <w:szCs w:val="20"/>
        </w:rPr>
        <w:t>о величинах (включая переменные, значение которых не зависит от решения эмитента), существенных для расчета номинальной стоимости ценных бумаг с индексируемым номиналом.</w:t>
      </w:r>
    </w:p>
    <w:p w14:paraId="7E40BE07"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долговых ценных бумаг, по которым предусмотрено частичное погашение основного долга, но величины погашаемого основного долга не определены на весь срок обращения, суммы будущих денежных потоков рассчитываются исходя из остатка основного долга на дату расчета, определённого с учетом всех ранее установленных сумм погашения.</w:t>
      </w:r>
    </w:p>
    <w:p w14:paraId="14C7081C" w14:textId="77777777" w:rsidR="00BA43DC" w:rsidRPr="00BE536E" w:rsidRDefault="00BA43DC" w:rsidP="00BA43DC">
      <w:pPr>
        <w:spacing w:after="0" w:line="312" w:lineRule="auto"/>
        <w:jc w:val="both"/>
        <w:rPr>
          <w:rFonts w:ascii="Verdana" w:hAnsi="Verdana"/>
          <w:sz w:val="20"/>
          <w:szCs w:val="20"/>
        </w:rPr>
      </w:pPr>
    </w:p>
    <w:p w14:paraId="328ECD80" w14:textId="77777777" w:rsidR="00BA43DC" w:rsidRPr="00BE536E" w:rsidRDefault="00BA43DC" w:rsidP="00D05311">
      <w:pPr>
        <w:numPr>
          <w:ilvl w:val="2"/>
          <w:numId w:val="92"/>
        </w:numPr>
        <w:spacing w:after="0" w:line="312" w:lineRule="auto"/>
        <w:jc w:val="both"/>
        <w:rPr>
          <w:rFonts w:ascii="Verdana" w:hAnsi="Verdana"/>
          <w:sz w:val="20"/>
          <w:szCs w:val="20"/>
        </w:rPr>
      </w:pPr>
      <w:r w:rsidRPr="00BE536E">
        <w:rPr>
          <w:rFonts w:ascii="Verdana" w:hAnsi="Verdana"/>
          <w:sz w:val="20"/>
          <w:szCs w:val="20"/>
        </w:rPr>
        <w:t>Величина индексируемого номинала.</w:t>
      </w:r>
    </w:p>
    <w:p w14:paraId="2B6E6B3D"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долговых ценных бумаг с индексируемым номиналом, если в расчет величины номинала включены переменные, значение которых не зависит от решения эмитента, номинальная стоимость рассчитывается на дату каждого денежного потока исходя из номинальной стоимости на дату определения справедливой стоимости, срока до даты денежного потока и прогнозного значения инфляции для соответствующего периода по формуле (2)</w:t>
      </w:r>
      <w:r w:rsidRPr="00BE536E">
        <w:rPr>
          <w:rFonts w:ascii="Verdana" w:hAnsi="Verdana"/>
          <w:strike/>
          <w:sz w:val="20"/>
          <w:szCs w:val="20"/>
        </w:rPr>
        <w:t>(3):</w:t>
      </w:r>
    </w:p>
    <w:p w14:paraId="4614BE6E" w14:textId="77777777" w:rsidR="00BA43DC" w:rsidRPr="00BE536E" w:rsidRDefault="00BA43DC" w:rsidP="00BA43DC">
      <w:pPr>
        <w:spacing w:after="0" w:line="312" w:lineRule="auto"/>
        <w:jc w:val="both"/>
        <w:rPr>
          <w:rFonts w:ascii="Verdana" w:hAnsi="Verdana"/>
          <w:i/>
          <w:sz w:val="20"/>
          <w:szCs w:val="20"/>
          <w:lang w:val="en-US"/>
        </w:rPr>
      </w:pPr>
      <m:oMathPara>
        <m:oMathParaPr>
          <m:jc m:val="center"/>
        </m:oMathParaPr>
        <m:oMath>
          <m:r>
            <w:rPr>
              <w:rFonts w:ascii="Cambria Math" w:hAnsi="Cambria Math"/>
              <w:sz w:val="20"/>
              <w:szCs w:val="20"/>
              <w:lang w:val="en-US"/>
            </w:rPr>
            <w:lastRenderedPageBreak/>
            <m:t xml:space="preserve">НОМИНАЛ </m:t>
          </m:r>
          <m:sSub>
            <m:sSubPr>
              <m:ctrlPr>
                <w:rPr>
                  <w:rFonts w:ascii="Cambria Math" w:hAnsi="Cambria Math"/>
                  <w:i/>
                  <w:sz w:val="20"/>
                  <w:szCs w:val="20"/>
                </w:rPr>
              </m:ctrlPr>
            </m:sSubPr>
            <m:e>
              <m:r>
                <w:rPr>
                  <w:rFonts w:ascii="Cambria Math" w:hAnsi="Cambria Math"/>
                  <w:sz w:val="20"/>
                  <w:szCs w:val="20"/>
                  <w:lang w:val="en-US"/>
                </w:rPr>
                <m:t>ИН</m:t>
              </m:r>
            </m:e>
            <m:sub>
              <m:r>
                <w:rPr>
                  <w:rFonts w:ascii="Cambria Math" w:hAnsi="Cambria Math"/>
                  <w:sz w:val="20"/>
                  <w:szCs w:val="20"/>
                  <w:lang w:val="en-US"/>
                </w:rPr>
                <m:t>n</m:t>
              </m:r>
            </m:sub>
          </m:sSub>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 xml:space="preserve">НОМИНАЛ </m:t>
              </m:r>
              <m:sSub>
                <m:sSubPr>
                  <m:ctrlPr>
                    <w:rPr>
                      <w:rFonts w:ascii="Cambria Math" w:hAnsi="Cambria Math"/>
                      <w:i/>
                      <w:sz w:val="20"/>
                      <w:szCs w:val="20"/>
                    </w:rPr>
                  </m:ctrlPr>
                </m:sSubPr>
                <m:e>
                  <m:r>
                    <w:rPr>
                      <w:rFonts w:ascii="Cambria Math" w:hAnsi="Cambria Math"/>
                      <w:sz w:val="20"/>
                      <w:szCs w:val="20"/>
                      <w:lang w:val="en-US"/>
                    </w:rPr>
                    <m:t>ИН</m:t>
                  </m:r>
                </m:e>
                <m:sub>
                  <m:r>
                    <w:rPr>
                      <w:rFonts w:ascii="Cambria Math" w:hAnsi="Cambria Math"/>
                      <w:sz w:val="20"/>
                      <w:szCs w:val="20"/>
                      <w:lang w:val="en-US"/>
                    </w:rPr>
                    <m:t>n-1</m:t>
                  </m:r>
                </m:sub>
              </m:sSub>
              <m:r>
                <w:rPr>
                  <w:rFonts w:ascii="Cambria Math" w:hAnsi="Cambria Math"/>
                  <w:sz w:val="20"/>
                  <w:szCs w:val="20"/>
                  <w:lang w:val="en-US"/>
                </w:rPr>
                <m:t>×</m:t>
              </m:r>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r>
                        <w:rPr>
                          <w:rFonts w:ascii="Cambria Math" w:hAnsi="Cambria Math"/>
                          <w:sz w:val="20"/>
                          <w:szCs w:val="20"/>
                          <w:lang w:val="en-US"/>
                        </w:rPr>
                        <m:t xml:space="preserve">ПРОГНОЗ </m:t>
                      </m:r>
                      <m:sSub>
                        <m:sSubPr>
                          <m:ctrlPr>
                            <w:rPr>
                              <w:rFonts w:ascii="Cambria Math" w:hAnsi="Cambria Math"/>
                              <w:i/>
                              <w:sz w:val="20"/>
                              <w:szCs w:val="20"/>
                            </w:rPr>
                          </m:ctrlPr>
                        </m:sSubPr>
                        <m:e>
                          <m:r>
                            <w:rPr>
                              <w:rFonts w:ascii="Cambria Math" w:hAnsi="Cambria Math"/>
                              <w:sz w:val="20"/>
                              <w:szCs w:val="20"/>
                              <w:lang w:val="en-US"/>
                            </w:rPr>
                            <m:t>ИПЦ</m:t>
                          </m:r>
                        </m:e>
                        <m:sub>
                          <m:r>
                            <w:rPr>
                              <w:rFonts w:ascii="Cambria Math" w:hAnsi="Cambria Math"/>
                              <w:sz w:val="20"/>
                              <w:szCs w:val="20"/>
                              <w:lang w:val="en-US"/>
                            </w:rPr>
                            <m:t>n-1</m:t>
                          </m:r>
                        </m:sub>
                      </m:sSub>
                    </m:e>
                  </m:d>
                </m:e>
                <m:sup>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n</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n-1</m:t>
                          </m:r>
                        </m:sub>
                      </m:sSub>
                    </m:num>
                    <m:den>
                      <m:r>
                        <w:rPr>
                          <w:rFonts w:ascii="Cambria Math" w:hAnsi="Cambria Math"/>
                          <w:sz w:val="20"/>
                          <w:szCs w:val="20"/>
                        </w:rPr>
                        <m:t>365</m:t>
                      </m:r>
                    </m:den>
                  </m:f>
                </m:sup>
              </m:sSup>
              <m:r>
                <w:rPr>
                  <w:rFonts w:ascii="Cambria Math" w:hAnsi="Cambria Math"/>
                  <w:sz w:val="20"/>
                  <w:szCs w:val="20"/>
                </w:rPr>
                <m:t>,2</m:t>
              </m:r>
            </m:e>
          </m:d>
          <m:r>
            <w:rPr>
              <w:rFonts w:ascii="Cambria Math" w:hAnsi="Cambria Math"/>
              <w:sz w:val="20"/>
              <w:szCs w:val="20"/>
            </w:rPr>
            <m:t>,            (2)</m:t>
          </m:r>
        </m:oMath>
      </m:oMathPara>
    </w:p>
    <w:p w14:paraId="24DA4F70"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p>
    <w:p w14:paraId="66264E7B"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oMath>
      <w:r w:rsidRPr="00BE536E">
        <w:rPr>
          <w:rFonts w:ascii="Verdana" w:hAnsi="Verdana"/>
          <w:sz w:val="20"/>
          <w:szCs w:val="20"/>
        </w:rPr>
        <w:tab/>
        <w:t>- искомое значение номинала на дату каждого денежного потока;</w:t>
      </w:r>
    </w:p>
    <w:p w14:paraId="669DB9DF"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r>
              <w:rPr>
                <w:rFonts w:ascii="Cambria Math" w:hAnsi="Cambria Math"/>
                <w:sz w:val="20"/>
                <w:szCs w:val="20"/>
              </w:rPr>
              <m:t>-1</m:t>
            </m:r>
          </m:sub>
        </m:sSub>
      </m:oMath>
      <w:r w:rsidRPr="00BE536E">
        <w:rPr>
          <w:rFonts w:ascii="Verdana" w:hAnsi="Verdana"/>
          <w:sz w:val="20"/>
          <w:szCs w:val="20"/>
        </w:rPr>
        <w:tab/>
        <w:t>- величина номинала, рассчитанная на дату предшествующего денежного потока, но не ранее даты расчета справедливой стоимости. Результат расчета не округляется;</w:t>
      </w:r>
    </w:p>
    <w:p w14:paraId="4BF07D26"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0</m:t>
            </m:r>
          </m:sub>
        </m:sSub>
      </m:oMath>
      <w:r w:rsidRPr="00BE536E">
        <w:rPr>
          <w:rFonts w:ascii="Verdana" w:hAnsi="Verdana"/>
          <w:sz w:val="20"/>
          <w:szCs w:val="20"/>
        </w:rPr>
        <w:tab/>
        <w:t>- величина номинала на дату определения справедливой стоимости;</w:t>
      </w:r>
    </w:p>
    <w:p w14:paraId="63FDEC2D"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ПРОГНОЗ </m:t>
        </m:r>
        <m:sSub>
          <m:sSubPr>
            <m:ctrlPr>
              <w:rPr>
                <w:rFonts w:ascii="Cambria Math" w:hAnsi="Cambria Math"/>
                <w:i/>
                <w:sz w:val="20"/>
                <w:szCs w:val="20"/>
              </w:rPr>
            </m:ctrlPr>
          </m:sSubPr>
          <m:e>
            <m:r>
              <w:rPr>
                <w:rFonts w:ascii="Cambria Math" w:hAnsi="Cambria Math"/>
                <w:sz w:val="20"/>
                <w:szCs w:val="20"/>
              </w:rPr>
              <m:t>ИПЦ</m:t>
            </m:r>
          </m:e>
          <m:sub>
            <m:r>
              <w:rPr>
                <w:rFonts w:ascii="Cambria Math" w:hAnsi="Cambria Math"/>
                <w:sz w:val="20"/>
                <w:szCs w:val="20"/>
                <w:lang w:val="en-US"/>
              </w:rPr>
              <m:t>n</m:t>
            </m:r>
            <m:r>
              <w:rPr>
                <w:rFonts w:ascii="Cambria Math" w:hAnsi="Cambria Math"/>
                <w:sz w:val="20"/>
                <w:szCs w:val="20"/>
              </w:rPr>
              <m:t>-1</m:t>
            </m:r>
          </m:sub>
        </m:sSub>
      </m:oMath>
      <w:r w:rsidRPr="00BE536E">
        <w:rPr>
          <w:rFonts w:ascii="Verdana" w:hAnsi="Verdana"/>
          <w:sz w:val="20"/>
          <w:szCs w:val="20"/>
        </w:rPr>
        <w:tab/>
        <w:t>- прогнозное значение инфляции, определенное на дату предшествующего денежного потока (</w:t>
      </w:r>
      <w:r w:rsidRPr="00BE536E">
        <w:rPr>
          <w:rFonts w:ascii="Verdana" w:hAnsi="Verdana"/>
          <w:sz w:val="20"/>
          <w:szCs w:val="20"/>
          <w:lang w:val="en-US"/>
        </w:rPr>
        <w:t>n</w:t>
      </w:r>
      <w:r w:rsidRPr="00BE536E">
        <w:rPr>
          <w:rFonts w:ascii="Verdana" w:hAnsi="Verdana"/>
          <w:sz w:val="20"/>
          <w:szCs w:val="20"/>
        </w:rPr>
        <w:t>-1).</w:t>
      </w:r>
    </w:p>
    <w:p w14:paraId="1F5A5E3B" w14:textId="77777777" w:rsidR="00BA43DC" w:rsidRPr="00BE536E" w:rsidRDefault="00BA43DC" w:rsidP="00BA43DC">
      <w:pPr>
        <w:spacing w:after="0" w:line="312" w:lineRule="auto"/>
        <w:ind w:left="3533" w:hanging="2115"/>
        <w:jc w:val="both"/>
        <w:rPr>
          <w:rFonts w:ascii="Verdana" w:hAnsi="Verdana"/>
          <w:sz w:val="20"/>
          <w:szCs w:val="20"/>
        </w:rPr>
      </w:pPr>
    </w:p>
    <w:p w14:paraId="68DDB5C7"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долговых ценных бумаг с индексируемым номиналом, в расчет величины которого включены переменные, значение которых не зависит от решения эмитента, и при этом предусмотрена его амортизация, номинальная стоимость рассчитывается на дату каждого денежного потока с учетом предшествующего частичного погашения основного долга по формуле (2а):</w:t>
      </w:r>
    </w:p>
    <w:p w14:paraId="1C9383EA" w14:textId="77777777" w:rsidR="00BA43DC" w:rsidRPr="00BE536E" w:rsidRDefault="00BA43DC" w:rsidP="00BA43DC">
      <w:pPr>
        <w:spacing w:after="0" w:line="312" w:lineRule="auto"/>
        <w:jc w:val="both"/>
        <w:rPr>
          <w:rFonts w:ascii="Verdana" w:hAnsi="Verdana"/>
          <w:i/>
          <w:sz w:val="20"/>
          <w:szCs w:val="20"/>
          <w:lang w:val="en-US"/>
        </w:rPr>
      </w:pPr>
      <m:oMathPara>
        <m:oMathParaPr>
          <m:jc m:val="center"/>
        </m:oMathPara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СУММ</m:t>
                  </m:r>
                  <m:d>
                    <m:dPr>
                      <m:ctrlPr>
                        <w:rPr>
                          <w:rFonts w:ascii="Cambria Math" w:hAnsi="Cambria Math"/>
                          <w:i/>
                          <w:sz w:val="20"/>
                          <w:szCs w:val="20"/>
                        </w:rPr>
                      </m:ctrlPr>
                    </m:dPr>
                    <m:e>
                      <m:r>
                        <w:rPr>
                          <w:rFonts w:ascii="Cambria Math" w:hAnsi="Cambria Math"/>
                          <w:sz w:val="20"/>
                          <w:szCs w:val="20"/>
                        </w:rPr>
                        <m:t>ДОЛЯ АМОРТ</m:t>
                      </m:r>
                    </m:e>
                  </m:d>
                </m:e>
                <m:sub>
                  <m:r>
                    <w:rPr>
                      <w:rFonts w:ascii="Cambria Math" w:hAnsi="Cambria Math"/>
                      <w:sz w:val="20"/>
                      <w:szCs w:val="20"/>
                      <w:lang w:val="en-US"/>
                    </w:rPr>
                    <m:t>n-1</m:t>
                  </m:r>
                </m:sub>
              </m:sSub>
              <m:r>
                <w:rPr>
                  <w:rFonts w:ascii="Cambria Math" w:hAnsi="Cambria Math"/>
                  <w:sz w:val="20"/>
                  <w:szCs w:val="20"/>
                </w:rPr>
                <m:t xml:space="preserve"> ,2</m:t>
              </m:r>
            </m:e>
          </m:d>
          <m:r>
            <w:rPr>
              <w:rFonts w:ascii="Cambria Math" w:hAnsi="Cambria Math"/>
              <w:sz w:val="20"/>
              <w:szCs w:val="20"/>
            </w:rPr>
            <m:t>,  (2а)</m:t>
          </m:r>
        </m:oMath>
      </m:oMathPara>
    </w:p>
    <w:p w14:paraId="62385BB5"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p>
    <w:p w14:paraId="27231555"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BE536E">
        <w:rPr>
          <w:rFonts w:ascii="Verdana" w:hAnsi="Verdana"/>
          <w:sz w:val="20"/>
          <w:szCs w:val="20"/>
        </w:rPr>
        <w:t xml:space="preserve">- величина номинала с учетом его амортизации - искомое значение номинала на дату каждого денежного потока за вычетом частичного погашения основного долга с даты размещения выпуска (не включая частичное погашение основного долга в составе денежного потока </w:t>
      </w:r>
      <w:r w:rsidRPr="00BE536E">
        <w:rPr>
          <w:rFonts w:ascii="Verdana" w:hAnsi="Verdana"/>
          <w:sz w:val="20"/>
          <w:szCs w:val="20"/>
          <w:lang w:val="en-US"/>
        </w:rPr>
        <w:t>n</w:t>
      </w:r>
      <w:r w:rsidRPr="00BE536E">
        <w:rPr>
          <w:rFonts w:ascii="Verdana" w:hAnsi="Verdana"/>
          <w:sz w:val="20"/>
          <w:szCs w:val="20"/>
        </w:rPr>
        <w:t>);</w:t>
      </w:r>
    </w:p>
    <w:p w14:paraId="07F62AE9"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BE536E">
        <w:rPr>
          <w:rFonts w:ascii="Verdana" w:hAnsi="Verdana"/>
          <w:sz w:val="20"/>
          <w:szCs w:val="20"/>
        </w:rPr>
        <w:t>- величина номинала без учета его амортизации - значение, рассчитанное на дату соответствующего денежного потока по формуле (2) без учета частичного погашения основного долга с даты размещения выпуска (с учетом индексирования величины номинала, установленной на дату размещения выпуска);</w:t>
      </w:r>
    </w:p>
    <w:p w14:paraId="09D8D5A2" w14:textId="77777777" w:rsidR="00BA43DC" w:rsidRPr="00BE536E" w:rsidRDefault="00A3154D" w:rsidP="00BA43DC">
      <w:pPr>
        <w:spacing w:after="0" w:line="312" w:lineRule="auto"/>
        <w:ind w:left="3533" w:hanging="2115"/>
        <w:jc w:val="both"/>
        <w:rPr>
          <w:rFonts w:ascii="Verdana" w:eastAsiaTheme="minorEastAsia" w:hAnsi="Verdana"/>
          <w:sz w:val="20"/>
          <w:szCs w:val="20"/>
        </w:rPr>
      </w:pPr>
      <m:oMath>
        <m:sSub>
          <m:sSubPr>
            <m:ctrlPr>
              <w:rPr>
                <w:rFonts w:ascii="Cambria Math" w:hAnsi="Cambria Math"/>
                <w:i/>
                <w:sz w:val="20"/>
                <w:szCs w:val="20"/>
              </w:rPr>
            </m:ctrlPr>
          </m:sSubPr>
          <m:e>
            <m:r>
              <w:rPr>
                <w:rFonts w:ascii="Cambria Math" w:hAnsi="Cambria Math"/>
                <w:sz w:val="20"/>
                <w:szCs w:val="20"/>
              </w:rPr>
              <m:t>СУММ(ДОЛЯ АМОРТ)</m:t>
            </m:r>
          </m:e>
          <m:sub>
            <m:r>
              <w:rPr>
                <w:rFonts w:ascii="Cambria Math" w:hAnsi="Cambria Math"/>
                <w:sz w:val="20"/>
                <w:szCs w:val="20"/>
              </w:rPr>
              <m:t>n-1</m:t>
            </m:r>
          </m:sub>
        </m:sSub>
      </m:oMath>
      <w:r w:rsidR="00BA43DC" w:rsidRPr="00BE536E">
        <w:rPr>
          <w:rFonts w:ascii="Verdana" w:hAnsi="Verdana"/>
          <w:sz w:val="20"/>
          <w:szCs w:val="20"/>
        </w:rPr>
        <w:t xml:space="preserve">- сумма долей частичного погашения номинала с даты размещения выпуска до даты денежного потока </w:t>
      </w:r>
      <w:r w:rsidR="00BA43DC" w:rsidRPr="00BE536E">
        <w:rPr>
          <w:rFonts w:ascii="Verdana" w:hAnsi="Verdana"/>
          <w:sz w:val="20"/>
          <w:szCs w:val="20"/>
          <w:lang w:val="en-US"/>
        </w:rPr>
        <w:t>n</w:t>
      </w:r>
      <w:r w:rsidR="00BA43DC" w:rsidRPr="00BE536E">
        <w:rPr>
          <w:rFonts w:ascii="Verdana" w:hAnsi="Verdana"/>
          <w:sz w:val="20"/>
          <w:szCs w:val="20"/>
        </w:rPr>
        <w:t xml:space="preserve"> (не включая долю частичного погашения номинала в составе денежного потока </w:t>
      </w:r>
      <w:r w:rsidR="00BA43DC" w:rsidRPr="00BE536E">
        <w:rPr>
          <w:rFonts w:ascii="Verdana" w:hAnsi="Verdana"/>
          <w:sz w:val="20"/>
          <w:szCs w:val="20"/>
          <w:lang w:val="en-US"/>
        </w:rPr>
        <w:t>n</w:t>
      </w:r>
      <w:r w:rsidR="00BA43DC" w:rsidRPr="00BE536E">
        <w:rPr>
          <w:rFonts w:ascii="Verdana" w:hAnsi="Verdana"/>
          <w:sz w:val="20"/>
          <w:szCs w:val="20"/>
        </w:rPr>
        <w:t>).</w:t>
      </w:r>
    </w:p>
    <w:p w14:paraId="5E88690A"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В расчет суммы денежного потока включается сумма частичного погашения основного долга, если оно предусмотрено условиями выпуска в дату денежного потока, рассчитанная по формуле (3)</w:t>
      </w:r>
    </w:p>
    <w:p w14:paraId="32327F86" w14:textId="77777777" w:rsidR="00BA43DC" w:rsidRPr="00BE536E" w:rsidRDefault="00A3154D" w:rsidP="00BA43DC">
      <w:pPr>
        <w:spacing w:before="60" w:after="0" w:line="312" w:lineRule="auto"/>
        <w:jc w:val="both"/>
        <w:rPr>
          <w:rFonts w:ascii="Verdana" w:hAnsi="Verdana"/>
          <w:sz w:val="20"/>
          <w:szCs w:val="20"/>
        </w:rPr>
      </w:pPr>
      <m:oMathPara>
        <m:oMath>
          <m:sSub>
            <m:sSubPr>
              <m:ctrlPr>
                <w:rPr>
                  <w:rFonts w:ascii="Cambria Math" w:hAnsi="Cambria Math"/>
                  <w:i/>
                  <w:sz w:val="20"/>
                  <w:szCs w:val="20"/>
                </w:rPr>
              </m:ctrlPr>
            </m:sSubPr>
            <m:e>
              <m:r>
                <w:rPr>
                  <w:rFonts w:ascii="Cambria Math" w:hAnsi="Cambria Math"/>
                  <w:sz w:val="20"/>
                  <w:szCs w:val="20"/>
                </w:rPr>
                <m:t>СУММА АМОРТ</m:t>
              </m:r>
            </m:e>
            <m:sub>
              <m:r>
                <w:rPr>
                  <w:rFonts w:ascii="Cambria Math" w:hAnsi="Cambria Math"/>
                  <w:sz w:val="20"/>
                  <w:szCs w:val="20"/>
                  <w:lang w:val="en-US"/>
                </w:rPr>
                <m:t>n</m:t>
              </m:r>
            </m:sub>
          </m:sSub>
          <m:r>
            <w:rPr>
              <w:rFonts w:ascii="Cambria Math" w:hAnsi="Cambria Math"/>
              <w:sz w:val="20"/>
              <w:szCs w:val="20"/>
            </w:rPr>
            <m:t>=</m:t>
          </m:r>
          <m:r>
            <m:rPr>
              <m:sty m:val="p"/>
            </m:rPr>
            <w:rPr>
              <w:rFonts w:ascii="Cambria Math" w:hAnsi="Cambria Math"/>
              <w:sz w:val="20"/>
              <w:szCs w:val="20"/>
              <w:lang w:val="en-US"/>
            </w:rPr>
            <m:t>max⁡</m:t>
          </m:r>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НОМИНАЛ ×</m:t>
              </m:r>
              <m:sSub>
                <m:sSubPr>
                  <m:ctrlPr>
                    <w:rPr>
                      <w:rFonts w:ascii="Cambria Math" w:hAnsi="Cambria Math"/>
                      <w:i/>
                      <w:sz w:val="20"/>
                      <w:szCs w:val="20"/>
                    </w:rPr>
                  </m:ctrlPr>
                </m:sSubPr>
                <m:e>
                  <m:r>
                    <w:rPr>
                      <w:rFonts w:ascii="Cambria Math" w:hAnsi="Cambria Math"/>
                      <w:sz w:val="20"/>
                      <w:szCs w:val="20"/>
                    </w:rPr>
                    <m:t>ДОЛЯ АМОРТ</m:t>
                  </m:r>
                </m:e>
                <m:sub>
                  <m:r>
                    <w:rPr>
                      <w:rFonts w:ascii="Cambria Math" w:hAnsi="Cambria Math"/>
                      <w:sz w:val="20"/>
                      <w:szCs w:val="20"/>
                      <w:lang w:val="en-US"/>
                    </w:rPr>
                    <m:t>n</m:t>
                  </m:r>
                </m:sub>
              </m:sSub>
              <m:r>
                <w:rPr>
                  <w:rFonts w:ascii="Cambria Math" w:hAnsi="Cambria Math"/>
                  <w:sz w:val="20"/>
                  <w:szCs w:val="20"/>
                </w:rPr>
                <m:t xml:space="preserve"> ,2</m:t>
              </m:r>
            </m:e>
          </m:d>
          <m:r>
            <w:rPr>
              <w:rFonts w:ascii="Cambria Math" w:hAnsi="Cambria Math"/>
              <w:sz w:val="20"/>
              <w:szCs w:val="20"/>
            </w:rPr>
            <m:t xml:space="preserve">; </m:t>
          </m:r>
        </m:oMath>
      </m:oMathPara>
    </w:p>
    <w:p w14:paraId="5652F7D1" w14:textId="77777777" w:rsidR="00BA43DC" w:rsidRPr="00BE536E" w:rsidRDefault="00BA43DC" w:rsidP="00BA43DC">
      <w:pPr>
        <w:spacing w:after="60" w:line="312" w:lineRule="auto"/>
        <w:ind w:left="2825" w:firstLine="708"/>
        <w:jc w:val="both"/>
        <w:rPr>
          <w:rFonts w:ascii="Verdana" w:hAnsi="Verdana"/>
          <w:sz w:val="20"/>
          <w:szCs w:val="20"/>
        </w:rPr>
      </w:pPr>
      <w:r w:rsidRPr="00BE536E">
        <w:rPr>
          <w:rFonts w:ascii="Verdana" w:hAnsi="Verdana"/>
          <w:sz w:val="20"/>
          <w:szCs w:val="20"/>
        </w:rPr>
        <w:t xml:space="preserve">          </w:t>
      </w:r>
      <m:oMath>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ДОЛЯ АМОРТ</m:t>
                </m:r>
              </m:e>
              <m:sub>
                <m:r>
                  <w:rPr>
                    <w:rFonts w:ascii="Cambria Math" w:hAnsi="Cambria Math"/>
                    <w:sz w:val="20"/>
                    <w:szCs w:val="20"/>
                    <w:lang w:val="en-US"/>
                  </w:rPr>
                  <m:t>n</m:t>
                </m:r>
              </m:sub>
            </m:sSub>
            <m:r>
              <w:rPr>
                <w:rFonts w:ascii="Cambria Math" w:hAnsi="Cambria Math"/>
                <w:sz w:val="20"/>
                <w:szCs w:val="20"/>
              </w:rPr>
              <m:t xml:space="preserve"> ,2</m:t>
            </m:r>
          </m:e>
        </m:d>
        <m:r>
          <w:rPr>
            <w:rFonts w:ascii="Cambria Math" w:hAnsi="Cambria Math"/>
            <w:sz w:val="20"/>
            <w:szCs w:val="20"/>
          </w:rPr>
          <m:t>),            (3)</m:t>
        </m:r>
      </m:oMath>
    </w:p>
    <w:p w14:paraId="47F9F959" w14:textId="77777777" w:rsidR="00BA43DC" w:rsidRPr="00BE536E" w:rsidRDefault="00A3154D" w:rsidP="00BA43DC">
      <w:pPr>
        <w:spacing w:after="0" w:line="312" w:lineRule="auto"/>
        <w:ind w:left="3533" w:hanging="2115"/>
        <w:jc w:val="both"/>
        <w:rPr>
          <w:rFonts w:ascii="Verdana" w:eastAsiaTheme="minorEastAsia" w:hAnsi="Verdana"/>
          <w:sz w:val="20"/>
          <w:szCs w:val="20"/>
        </w:rPr>
      </w:pPr>
      <m:oMath>
        <m:sSub>
          <m:sSubPr>
            <m:ctrlPr>
              <w:rPr>
                <w:rFonts w:ascii="Cambria Math" w:hAnsi="Cambria Math"/>
                <w:i/>
                <w:sz w:val="20"/>
                <w:szCs w:val="20"/>
              </w:rPr>
            </m:ctrlPr>
          </m:sSubPr>
          <m:e>
            <m:r>
              <w:rPr>
                <w:rFonts w:ascii="Cambria Math" w:hAnsi="Cambria Math"/>
                <w:sz w:val="20"/>
                <w:szCs w:val="20"/>
              </w:rPr>
              <m:t>СУММА АМОРТ</m:t>
            </m:r>
          </m:e>
          <m:sub>
            <m:r>
              <w:rPr>
                <w:rFonts w:ascii="Cambria Math" w:hAnsi="Cambria Math"/>
                <w:sz w:val="20"/>
                <w:szCs w:val="20"/>
              </w:rPr>
              <m:t>n</m:t>
            </m:r>
          </m:sub>
        </m:sSub>
      </m:oMath>
      <w:r w:rsidR="00BA43DC" w:rsidRPr="00BE536E">
        <w:rPr>
          <w:rFonts w:ascii="Verdana" w:hAnsi="Verdana"/>
          <w:sz w:val="20"/>
          <w:szCs w:val="20"/>
        </w:rPr>
        <w:t>- искомая величина частичного погашения номинала в дату соответствующего денежного потока;</w:t>
      </w:r>
    </w:p>
    <w:p w14:paraId="5BDF9ECD"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BE536E">
        <w:rPr>
          <w:rFonts w:ascii="Verdana" w:hAnsi="Verdana"/>
          <w:sz w:val="20"/>
          <w:szCs w:val="20"/>
        </w:rPr>
        <w:t>- величина номинала без учета его амортизации - значение, рассчитанное на дату соответствующего денежного потока по формуле (3) без учета частичного погашения основного долга с даты размещения выпуска (т.е. только с учетом индексирования величины номинала, установленной на дату размещения выпуска);</w:t>
      </w:r>
    </w:p>
    <w:p w14:paraId="2CDC05A7"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НОМИНАЛ</m:t>
        </m:r>
      </m:oMath>
      <w:r w:rsidRPr="00BE536E">
        <w:rPr>
          <w:rFonts w:ascii="Verdana" w:hAnsi="Verdana"/>
          <w:sz w:val="20"/>
          <w:szCs w:val="20"/>
        </w:rPr>
        <w:tab/>
        <w:t>- величина номинала на дату размещения выпуска (без учета индексации и амортизации);</w:t>
      </w:r>
    </w:p>
    <w:p w14:paraId="0FD18FB8"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ДОЛЯ </m:t>
        </m:r>
        <m:sSub>
          <m:sSubPr>
            <m:ctrlPr>
              <w:rPr>
                <w:rFonts w:ascii="Cambria Math" w:hAnsi="Cambria Math"/>
                <w:i/>
                <w:sz w:val="20"/>
                <w:szCs w:val="20"/>
              </w:rPr>
            </m:ctrlPr>
          </m:sSubPr>
          <m:e>
            <m:r>
              <w:rPr>
                <w:rFonts w:ascii="Cambria Math" w:hAnsi="Cambria Math"/>
                <w:sz w:val="20"/>
                <w:szCs w:val="20"/>
              </w:rPr>
              <m:t>АМОРТ</m:t>
            </m:r>
          </m:e>
          <m:sub>
            <m:r>
              <w:rPr>
                <w:rFonts w:ascii="Cambria Math" w:hAnsi="Cambria Math"/>
                <w:sz w:val="20"/>
                <w:szCs w:val="20"/>
                <w:lang w:val="en-US"/>
              </w:rPr>
              <m:t>n</m:t>
            </m:r>
          </m:sub>
        </m:sSub>
      </m:oMath>
      <w:r w:rsidRPr="00BE536E">
        <w:rPr>
          <w:rFonts w:ascii="Verdana" w:hAnsi="Verdana"/>
          <w:sz w:val="20"/>
          <w:szCs w:val="20"/>
        </w:rPr>
        <w:tab/>
        <w:t>- доля частичного погашения номинала в дату денежного потока n.</w:t>
      </w:r>
    </w:p>
    <w:p w14:paraId="75833439" w14:textId="77777777" w:rsidR="00BA43DC" w:rsidRPr="00BE536E" w:rsidRDefault="00BA43DC" w:rsidP="00BA43DC">
      <w:pPr>
        <w:spacing w:after="0" w:line="312" w:lineRule="auto"/>
        <w:ind w:left="3533" w:hanging="2115"/>
        <w:jc w:val="both"/>
        <w:rPr>
          <w:rFonts w:ascii="Verdana" w:hAnsi="Verdana"/>
          <w:sz w:val="20"/>
          <w:szCs w:val="20"/>
        </w:rPr>
      </w:pPr>
    </w:p>
    <w:p w14:paraId="45775941" w14:textId="77777777" w:rsidR="00BA43DC" w:rsidRPr="00BE536E" w:rsidRDefault="00BA43DC" w:rsidP="00D05311">
      <w:pPr>
        <w:numPr>
          <w:ilvl w:val="2"/>
          <w:numId w:val="92"/>
        </w:numPr>
        <w:spacing w:after="0" w:line="312" w:lineRule="auto"/>
        <w:jc w:val="both"/>
        <w:rPr>
          <w:rFonts w:ascii="Verdana" w:hAnsi="Verdana"/>
          <w:sz w:val="20"/>
          <w:szCs w:val="20"/>
        </w:rPr>
      </w:pPr>
      <w:r w:rsidRPr="00BE536E">
        <w:rPr>
          <w:rFonts w:ascii="Verdana" w:hAnsi="Verdana"/>
          <w:sz w:val="20"/>
          <w:szCs w:val="20"/>
        </w:rPr>
        <w:t>Величина переменной ставки купона.</w:t>
      </w:r>
    </w:p>
    <w:p w14:paraId="0EA7F7D8"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Для долговых ценных бумаг, по которым процентные ставки не определены на весь ожидаемый срок обращения, суммы будущих денежных потоков, для которых ставка не определена на дату оценки инструмента, рассчитываются:</w:t>
      </w:r>
    </w:p>
    <w:p w14:paraId="5CDBDC27" w14:textId="77777777" w:rsidR="00BA43DC" w:rsidRPr="00BE536E" w:rsidRDefault="00BA43DC" w:rsidP="00D05311">
      <w:pPr>
        <w:numPr>
          <w:ilvl w:val="0"/>
          <w:numId w:val="96"/>
        </w:numPr>
        <w:spacing w:after="0" w:line="312" w:lineRule="auto"/>
        <w:ind w:left="1134"/>
        <w:jc w:val="both"/>
        <w:rPr>
          <w:rFonts w:ascii="Verdana" w:hAnsi="Verdana"/>
          <w:sz w:val="20"/>
          <w:szCs w:val="20"/>
        </w:rPr>
      </w:pPr>
      <w:r w:rsidRPr="00BE536E">
        <w:rPr>
          <w:rFonts w:ascii="Verdana" w:hAnsi="Verdana"/>
          <w:sz w:val="20"/>
          <w:szCs w:val="20"/>
        </w:rPr>
        <w:t>для ценных бумаг, в расчет ставки по которым включены переменные, значение которых не зависят от решения эмитента, - исходя ставки, определенной с учетом прогнозных значений таких переменных параметров, (расчет ставки выполняется по формуле, определенной условиями выпуска),</w:t>
      </w:r>
    </w:p>
    <w:p w14:paraId="7999B754" w14:textId="77777777" w:rsidR="00BA43DC" w:rsidRPr="00BE536E" w:rsidRDefault="00BA43DC" w:rsidP="00D05311">
      <w:pPr>
        <w:numPr>
          <w:ilvl w:val="0"/>
          <w:numId w:val="96"/>
        </w:numPr>
        <w:spacing w:after="120" w:line="312" w:lineRule="auto"/>
        <w:ind w:left="1134"/>
        <w:jc w:val="both"/>
        <w:rPr>
          <w:rFonts w:ascii="Verdana" w:hAnsi="Verdana"/>
          <w:sz w:val="20"/>
          <w:szCs w:val="20"/>
        </w:rPr>
      </w:pPr>
      <w:r w:rsidRPr="00BE536E">
        <w:rPr>
          <w:rFonts w:ascii="Verdana" w:hAnsi="Verdana"/>
          <w:sz w:val="20"/>
          <w:szCs w:val="20"/>
        </w:rPr>
        <w:t>для прочих ценных бумаг – исходя из ставки, заданной для наиболее позднего купонного периода.</w:t>
      </w:r>
    </w:p>
    <w:p w14:paraId="191B18B0"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 xml:space="preserve">Расчет ставок выполняется отдельно для каждого купонного периода. </w:t>
      </w:r>
    </w:p>
    <w:p w14:paraId="3F8EE57D"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в качестве переменного параметра для расчета ставки купона условиями выпуска инструмента предусмотрена «ставка инфляции» и иная «ставка денежного рынка»</w:t>
      </w:r>
      <w:r w:rsidRPr="00BE536E">
        <w:rPr>
          <w:rStyle w:val="ab"/>
          <w:rFonts w:ascii="Verdana" w:hAnsi="Verdana"/>
        </w:rPr>
        <w:footnoteReference w:id="36"/>
      </w:r>
      <w:r w:rsidRPr="00BE536E">
        <w:rPr>
          <w:rFonts w:ascii="Verdana" w:hAnsi="Verdana"/>
          <w:sz w:val="20"/>
          <w:szCs w:val="20"/>
        </w:rPr>
        <w:t>, значение ставки соответствующего купона рассчитывается по формуле, предусмотренной условиями выпуска исходя из прогнозного значения инфляции, соответствующего купонному периоду, и прогнозного значения иной ставки денежного рынка соответствующей срочности (путем выбора максимального из значений, рассчитанных с применением указанных двух прогнозных параметров).</w:t>
      </w:r>
    </w:p>
    <w:p w14:paraId="6806C62C"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расчете справедливой стоимости осуществляется пересмотр будущих денежных потоков при наличии обновленной информации о значениях ставки купона. Новое значение ставки купона применяется с даты начала соответствующего купонного периода, ближайшего к дате установления ставки (но не позднее даты начала купонного периода, на который ставка установлена, или более раннего купонного периода, до начала которого ставка установлена).</w:t>
      </w:r>
    </w:p>
    <w:p w14:paraId="66ED770D" w14:textId="77777777" w:rsidR="00BA43DC" w:rsidRPr="00BE536E" w:rsidRDefault="00BA43DC" w:rsidP="00BA43DC">
      <w:pPr>
        <w:spacing w:after="0" w:line="312" w:lineRule="auto"/>
        <w:ind w:firstLine="708"/>
        <w:jc w:val="both"/>
        <w:rPr>
          <w:rFonts w:ascii="Verdana" w:hAnsi="Verdana"/>
          <w:sz w:val="20"/>
          <w:szCs w:val="20"/>
        </w:rPr>
      </w:pPr>
    </w:p>
    <w:p w14:paraId="3EFD0B3C" w14:textId="77777777" w:rsidR="00BA43DC" w:rsidRPr="00BE536E" w:rsidRDefault="00BA43DC" w:rsidP="00D05311">
      <w:pPr>
        <w:numPr>
          <w:ilvl w:val="2"/>
          <w:numId w:val="92"/>
        </w:numPr>
        <w:spacing w:after="0" w:line="312" w:lineRule="auto"/>
        <w:jc w:val="both"/>
        <w:rPr>
          <w:rFonts w:ascii="Verdana" w:hAnsi="Verdana"/>
          <w:sz w:val="20"/>
          <w:szCs w:val="20"/>
        </w:rPr>
      </w:pPr>
      <w:r w:rsidRPr="00BE536E">
        <w:rPr>
          <w:rFonts w:ascii="Verdana" w:hAnsi="Verdana"/>
          <w:sz w:val="20"/>
          <w:szCs w:val="20"/>
        </w:rPr>
        <w:lastRenderedPageBreak/>
        <w:t>Прогнозные значения инфляции</w:t>
      </w:r>
    </w:p>
    <w:p w14:paraId="0CA4CAA7"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Для прогнозных значений инфляции (ПРОГНОЗ ИПЦ) используются значения:</w:t>
      </w:r>
    </w:p>
    <w:p w14:paraId="28FF1195" w14:textId="77777777" w:rsidR="00BA43DC" w:rsidRPr="00BE536E" w:rsidRDefault="00BA43DC" w:rsidP="00D05311">
      <w:pPr>
        <w:numPr>
          <w:ilvl w:val="0"/>
          <w:numId w:val="97"/>
        </w:numPr>
        <w:spacing w:after="0" w:line="312" w:lineRule="auto"/>
        <w:ind w:left="709" w:firstLine="0"/>
        <w:jc w:val="both"/>
        <w:rPr>
          <w:rFonts w:ascii="Verdana" w:hAnsi="Verdana"/>
          <w:sz w:val="20"/>
          <w:szCs w:val="20"/>
        </w:rPr>
      </w:pPr>
      <w:r w:rsidRPr="00BE536E">
        <w:rPr>
          <w:rFonts w:ascii="Verdana" w:hAnsi="Verdana"/>
          <w:sz w:val="20"/>
          <w:szCs w:val="20"/>
        </w:rPr>
        <w:t>«вмененной» инфляции (далее также – ВИПЦ, INF);</w:t>
      </w:r>
    </w:p>
    <w:p w14:paraId="5C523B59" w14:textId="77777777" w:rsidR="00BA43DC" w:rsidRPr="00BE536E" w:rsidRDefault="00BA43DC" w:rsidP="00D05311">
      <w:pPr>
        <w:numPr>
          <w:ilvl w:val="0"/>
          <w:numId w:val="97"/>
        </w:numPr>
        <w:spacing w:after="0" w:line="312" w:lineRule="auto"/>
        <w:ind w:left="709" w:firstLine="0"/>
        <w:jc w:val="both"/>
        <w:rPr>
          <w:rFonts w:ascii="Verdana" w:hAnsi="Verdana"/>
          <w:sz w:val="20"/>
          <w:szCs w:val="20"/>
        </w:rPr>
      </w:pPr>
      <w:r w:rsidRPr="00BE536E">
        <w:rPr>
          <w:rFonts w:ascii="Verdana" w:hAnsi="Verdana"/>
          <w:sz w:val="20"/>
          <w:szCs w:val="20"/>
        </w:rPr>
        <w:t xml:space="preserve">экспертный прогноз о будущих значениях инфляции - в случае отсутствия значения «вмененной» инфляции для соответствующих периодов (EIU, консенсус прогноз аналитиков Bloomberg, МЭР или другие доступные прогнозы). </w:t>
      </w:r>
    </w:p>
    <w:p w14:paraId="59BBA457"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дата начала которых не превышает 2023 год (год погашения выпуска ОФЗ 52001RMFS), в качестве прогноза инфляции используется значение «вмененной» инфляции для выпуска ОФЗ 52001RMFS, рассчитанное по формуле (4) как разница между Ставкой КБД в точке, соответствующей сроку до погашения выпуска ОФЗ 52001RMFS, и  средневзвешенной доходностью к погашению этого же выпуска:</w:t>
      </w:r>
    </w:p>
    <w:p w14:paraId="0E9C83BC" w14:textId="77777777" w:rsidR="00BA43DC" w:rsidRPr="00BE536E" w:rsidRDefault="00A3154D" w:rsidP="00BA43DC">
      <w:pPr>
        <w:spacing w:after="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52001</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52001</m:t>
              </m:r>
            </m:sub>
          </m:sSub>
          <m:r>
            <w:rPr>
              <w:rFonts w:ascii="Cambria Math" w:hAnsi="Cambria Math"/>
              <w:sz w:val="20"/>
              <w:szCs w:val="20"/>
            </w:rPr>
            <m:t>,                                     (4)</m:t>
          </m:r>
        </m:oMath>
      </m:oMathPara>
    </w:p>
    <w:p w14:paraId="25768CE1"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начинающихся в промежутке с 2024г. до 2028г. (включая), в качестве прогноза инфляции используется значение, рассчитанное по формуле (5), исходя из значений «вмененной» инфляции выпусков ОФЗ 52001RMFS и 52002RMFS:</w:t>
      </w:r>
    </w:p>
    <w:p w14:paraId="50075573" w14:textId="77777777" w:rsidR="00BA43DC" w:rsidRPr="00BE536E" w:rsidRDefault="00A3154D" w:rsidP="00BA43DC">
      <w:pPr>
        <w:spacing w:after="0" w:line="312" w:lineRule="auto"/>
        <w:jc w:val="both"/>
        <w:rPr>
          <w:rFonts w:ascii="Verdana" w:hAnsi="Verdana"/>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2024-2028</m:t>
              </m:r>
            </m:sub>
          </m:sSub>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d>
                <m:dPr>
                  <m:ctrlPr>
                    <w:rPr>
                      <w:rFonts w:ascii="Cambria Math" w:hAnsi="Cambria Math"/>
                      <w:i/>
                      <w:sz w:val="20"/>
                      <w:szCs w:val="20"/>
                    </w:rPr>
                  </m:ctrlPr>
                </m:dPr>
                <m:e>
                  <m:rad>
                    <m:radPr>
                      <m:ctrlPr>
                        <w:rPr>
                          <w:rFonts w:ascii="Cambria Math" w:hAnsi="Cambria Math"/>
                          <w:i/>
                          <w:sz w:val="20"/>
                          <w:szCs w:val="20"/>
                        </w:rPr>
                      </m:ctrlPr>
                    </m:radPr>
                    <m:deg>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52001</m:t>
                          </m:r>
                        </m:sub>
                      </m:sSub>
                    </m:deg>
                    <m:e>
                      <m:f>
                        <m:fPr>
                          <m:ctrlPr>
                            <w:rPr>
                              <w:rFonts w:ascii="Cambria Math" w:hAnsi="Cambria Math"/>
                              <w:i/>
                              <w:sz w:val="20"/>
                              <w:szCs w:val="20"/>
                            </w:rPr>
                          </m:ctrlPr>
                        </m:fPr>
                        <m:num>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sup>
                          </m:sSup>
                        </m:num>
                        <m:den>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52001</m:t>
                                  </m:r>
                                </m:sub>
                              </m:sSub>
                            </m:sup>
                          </m:sSup>
                        </m:den>
                      </m:f>
                    </m:e>
                  </m:rad>
                  <m:r>
                    <w:rPr>
                      <w:rFonts w:ascii="Cambria Math" w:hAnsi="Cambria Math"/>
                      <w:sz w:val="20"/>
                      <w:szCs w:val="20"/>
                    </w:rPr>
                    <m:t>-1</m:t>
                  </m:r>
                </m:e>
              </m:d>
              <m:r>
                <w:rPr>
                  <w:rFonts w:ascii="Cambria Math" w:hAnsi="Cambria Math"/>
                  <w:sz w:val="20"/>
                  <w:szCs w:val="20"/>
                </w:rPr>
                <m:t>, 4</m:t>
              </m:r>
            </m:e>
          </m:d>
          <m:r>
            <w:rPr>
              <w:rFonts w:ascii="Cambria Math" w:hAnsi="Cambria Math"/>
              <w:sz w:val="20"/>
              <w:szCs w:val="20"/>
            </w:rPr>
            <m:t>*100,       (5)</m:t>
          </m:r>
        </m:oMath>
      </m:oMathPara>
    </w:p>
    <w:p w14:paraId="44660215"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186AA949" w14:textId="77777777" w:rsidR="00BA43DC" w:rsidRPr="00BE536E" w:rsidRDefault="00A3154D" w:rsidP="00BA43DC">
      <w:pPr>
        <w:spacing w:after="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52002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YTM</m:t>
              </m:r>
            </m:e>
            <m:sub>
              <m:r>
                <w:rPr>
                  <w:rFonts w:ascii="Cambria Math" w:hAnsi="Cambria Math"/>
                  <w:sz w:val="20"/>
                  <w:szCs w:val="20"/>
                </w:rPr>
                <m:t>52002</m:t>
              </m:r>
            </m:sub>
          </m:sSub>
          <m:r>
            <w:rPr>
              <w:rFonts w:ascii="Cambria Math" w:hAnsi="Cambria Math"/>
              <w:sz w:val="20"/>
              <w:szCs w:val="20"/>
            </w:rPr>
            <m:t>,                                     (6)</m:t>
          </m:r>
        </m:oMath>
      </m:oMathPara>
    </w:p>
    <w:p w14:paraId="4EED1E33" w14:textId="77777777" w:rsidR="00BA43DC" w:rsidRPr="00BE536E" w:rsidRDefault="00A3154D"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52001RMFS, рассчитанное по формуле (4) с точностью до 2 знаков после запятой – результат расчета по формуле (4) соответствует значению в процентах;</w:t>
      </w:r>
    </w:p>
    <w:p w14:paraId="79AC6BB5" w14:textId="77777777" w:rsidR="00BA43DC" w:rsidRPr="00BE536E" w:rsidRDefault="00A3154D"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52002RMFS, рассчитанное по формуле (6) с точностью до 2 знаков после запятой – результат расчета по формуле (6) соответствует значению в процентах;</w:t>
      </w:r>
    </w:p>
    <w:p w14:paraId="66ACEF25" w14:textId="77777777" w:rsidR="00BA43DC" w:rsidRPr="00BE536E" w:rsidRDefault="00A3154D"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52001</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oMath>
      <w:r w:rsidR="00BA43DC" w:rsidRPr="00BE536E">
        <w:rPr>
          <w:rFonts w:ascii="Verdana" w:hAnsi="Verdana"/>
          <w:sz w:val="20"/>
          <w:szCs w:val="20"/>
        </w:rPr>
        <w:tab/>
      </w:r>
      <w:r w:rsidR="00BA43DC" w:rsidRPr="00BE536E">
        <w:rPr>
          <w:rFonts w:ascii="Verdana" w:hAnsi="Verdana"/>
          <w:sz w:val="20"/>
          <w:szCs w:val="20"/>
        </w:rPr>
        <w:tab/>
        <w:t>- значение средневзвешенного срока до погашения выпусков ОФЗ 52001RMFS, 52002RMFS, рассчитанное в годах с точностью до 4-х (четырех) знаков после запятой;</w:t>
      </w:r>
    </w:p>
    <w:p w14:paraId="135F49F7" w14:textId="77777777" w:rsidR="00BA43DC" w:rsidRPr="00BE536E" w:rsidRDefault="00A3154D"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52001</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52002</m:t>
            </m:r>
          </m:sub>
        </m:sSub>
      </m:oMath>
      <w:r w:rsidR="00BA43DC" w:rsidRPr="00BE536E">
        <w:rPr>
          <w:rFonts w:ascii="Verdana" w:hAnsi="Verdana"/>
          <w:sz w:val="20"/>
          <w:szCs w:val="20"/>
        </w:rPr>
        <w:tab/>
        <w:t>- значение Ставки КБД в точке, соответствующей средневзвешенному сроку до погашения выпусков ОФЗ 52001RMFS, 52002RMFS;</w:t>
      </w:r>
    </w:p>
    <w:p w14:paraId="49A5554F" w14:textId="77777777" w:rsidR="00BA43DC" w:rsidRPr="00BE536E" w:rsidRDefault="00A3154D"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52001</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52002</m:t>
            </m:r>
          </m:sub>
        </m:sSub>
      </m:oMath>
      <w:r w:rsidR="00BA43DC" w:rsidRPr="00BE536E">
        <w:rPr>
          <w:rFonts w:ascii="Verdana" w:hAnsi="Verdana"/>
          <w:sz w:val="20"/>
          <w:szCs w:val="20"/>
        </w:rPr>
        <w:tab/>
        <w:t>- средневзвешенная доходность к погашению выпусков ОФЗ 52001RMFS, 52002RMFS на дату оценки, публикуемая Московской биржей.</w:t>
      </w:r>
    </w:p>
    <w:p w14:paraId="66C68399"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начинающихся в промежутке с 2029г. до 2030г. (включая), в качестве прогноза инфляции используется значение, рассчитанное по формуле (7), исходя из значений «вмененной» инфляции выпусков ОФЗ 52002RMFS и 52003RMFS:</w:t>
      </w:r>
    </w:p>
    <w:p w14:paraId="68B384DB" w14:textId="77777777" w:rsidR="00BA43DC" w:rsidRPr="00BE536E" w:rsidRDefault="00A3154D" w:rsidP="00BA43DC">
      <w:pPr>
        <w:spacing w:after="0" w:line="312" w:lineRule="auto"/>
        <w:jc w:val="both"/>
        <w:rPr>
          <w:rFonts w:ascii="Verdana" w:hAnsi="Verdana"/>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2029-2030</m:t>
              </m:r>
            </m:sub>
          </m:sSub>
          <m:r>
            <w:rPr>
              <w:rFonts w:ascii="Cambria Math" w:hAnsi="Cambria Math"/>
              <w:sz w:val="20"/>
              <w:szCs w:val="20"/>
            </w:rPr>
            <m:t>=ОКРУГЛ</m:t>
          </m:r>
          <m:d>
            <m:dPr>
              <m:ctrlPr>
                <w:rPr>
                  <w:rFonts w:ascii="Cambria Math" w:hAnsi="Cambria Math"/>
                  <w:i/>
                  <w:sz w:val="20"/>
                  <w:szCs w:val="20"/>
                </w:rPr>
              </m:ctrlPr>
            </m:dPr>
            <m:e>
              <m:d>
                <m:dPr>
                  <m:ctrlPr>
                    <w:rPr>
                      <w:rFonts w:ascii="Cambria Math" w:hAnsi="Cambria Math"/>
                      <w:i/>
                      <w:sz w:val="20"/>
                      <w:szCs w:val="20"/>
                    </w:rPr>
                  </m:ctrlPr>
                </m:dPr>
                <m:e>
                  <m:rad>
                    <m:radPr>
                      <m:ctrlPr>
                        <w:rPr>
                          <w:rFonts w:ascii="Cambria Math" w:hAnsi="Cambria Math"/>
                          <w:i/>
                          <w:sz w:val="20"/>
                          <w:szCs w:val="20"/>
                        </w:rPr>
                      </m:ctrlPr>
                    </m:radPr>
                    <m:deg>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deg>
                    <m:e>
                      <m:f>
                        <m:fPr>
                          <m:ctrlPr>
                            <w:rPr>
                              <w:rFonts w:ascii="Cambria Math" w:hAnsi="Cambria Math"/>
                              <w:i/>
                              <w:sz w:val="20"/>
                              <w:szCs w:val="20"/>
                            </w:rPr>
                          </m:ctrlPr>
                        </m:fPr>
                        <m:num>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52003</m:t>
                                  </m:r>
                                </m:sub>
                              </m:sSub>
                            </m:sup>
                          </m:sSup>
                        </m:num>
                        <m:den>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sup>
                          </m:sSup>
                        </m:den>
                      </m:f>
                    </m:e>
                  </m:rad>
                  <m:r>
                    <w:rPr>
                      <w:rFonts w:ascii="Cambria Math" w:hAnsi="Cambria Math"/>
                      <w:sz w:val="20"/>
                      <w:szCs w:val="20"/>
                    </w:rPr>
                    <m:t>-1</m:t>
                  </m:r>
                </m:e>
              </m:d>
              <m:r>
                <w:rPr>
                  <w:rFonts w:ascii="Cambria Math" w:hAnsi="Cambria Math"/>
                  <w:sz w:val="20"/>
                  <w:szCs w:val="20"/>
                </w:rPr>
                <m:t>, 4</m:t>
              </m:r>
            </m:e>
          </m:d>
          <m:r>
            <w:rPr>
              <w:rFonts w:ascii="Cambria Math" w:hAnsi="Cambria Math"/>
              <w:sz w:val="20"/>
              <w:szCs w:val="20"/>
            </w:rPr>
            <m:t>*100,       (7)</m:t>
          </m:r>
        </m:oMath>
      </m:oMathPara>
    </w:p>
    <w:p w14:paraId="49FCC490"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010D9D96" w14:textId="77777777" w:rsidR="00BA43DC" w:rsidRPr="00BE536E" w:rsidRDefault="00A3154D" w:rsidP="00BA43DC">
      <w:pPr>
        <w:spacing w:before="120" w:after="12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YTM</m:t>
              </m:r>
            </m:e>
            <m:sub>
              <m:r>
                <w:rPr>
                  <w:rFonts w:ascii="Cambria Math" w:hAnsi="Cambria Math"/>
                  <w:sz w:val="20"/>
                  <w:szCs w:val="20"/>
                </w:rPr>
                <m:t>52003</m:t>
              </m:r>
            </m:sub>
          </m:sSub>
          <m:r>
            <w:rPr>
              <w:rFonts w:ascii="Cambria Math" w:hAnsi="Cambria Math"/>
              <w:sz w:val="20"/>
              <w:szCs w:val="20"/>
            </w:rPr>
            <m:t>,                                     (8)</m:t>
          </m:r>
        </m:oMath>
      </m:oMathPara>
    </w:p>
    <w:p w14:paraId="02632BBC" w14:textId="77777777" w:rsidR="00BA43DC" w:rsidRPr="00BE536E" w:rsidRDefault="00A3154D"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52002RMFS, рассчитанное по формуле (6) с точностью до 2 знаков после запятой – результат расчета по формуле (6) соответствует значению в процентах;</w:t>
      </w:r>
    </w:p>
    <w:p w14:paraId="31916D2B" w14:textId="77777777" w:rsidR="00BA43DC" w:rsidRPr="00BE536E" w:rsidRDefault="00A3154D"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52003RMFS, рассчитанное по формуле (8) с точностью до 2 знаков после запятой – результат расчета по формуле (8) соответствует значению в процентах;</w:t>
      </w:r>
    </w:p>
    <w:p w14:paraId="3315CD7E" w14:textId="77777777" w:rsidR="00BA43DC" w:rsidRPr="00BE536E" w:rsidRDefault="00A3154D"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52003</m:t>
            </m:r>
          </m:sub>
        </m:sSub>
      </m:oMath>
      <w:r w:rsidR="00BA43DC" w:rsidRPr="00BE536E">
        <w:rPr>
          <w:rFonts w:ascii="Verdana" w:hAnsi="Verdana"/>
          <w:sz w:val="20"/>
          <w:szCs w:val="20"/>
        </w:rPr>
        <w:tab/>
      </w:r>
      <w:r w:rsidR="00BA43DC" w:rsidRPr="00BE536E">
        <w:rPr>
          <w:rFonts w:ascii="Verdana" w:hAnsi="Verdana"/>
          <w:sz w:val="20"/>
          <w:szCs w:val="20"/>
        </w:rPr>
        <w:tab/>
        <w:t>- значение средневзвешенного срока до погашения выпусков ОФЗ 52002RMFS, 52003RMFS, рассчитанное в годах с точностью до 4-х (четырех) знаков после запятой;</w:t>
      </w:r>
    </w:p>
    <w:p w14:paraId="6679352C" w14:textId="77777777" w:rsidR="00BA43DC" w:rsidRPr="00BE536E" w:rsidRDefault="00A3154D"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52002</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52003</m:t>
            </m:r>
          </m:sub>
        </m:sSub>
      </m:oMath>
      <w:r w:rsidR="00BA43DC" w:rsidRPr="00BE536E">
        <w:rPr>
          <w:rFonts w:ascii="Verdana" w:hAnsi="Verdana"/>
          <w:sz w:val="20"/>
          <w:szCs w:val="20"/>
        </w:rPr>
        <w:tab/>
        <w:t>- значение Ставки КБД в точке, соответствующей средневзвешенному сроку до погашения выпусков ОФЗ 52002RMFS, 52003RMFS;</w:t>
      </w:r>
    </w:p>
    <w:p w14:paraId="52F9CBBC" w14:textId="77777777" w:rsidR="00BA43DC" w:rsidRPr="00BE536E" w:rsidRDefault="00A3154D"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52002</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52003</m:t>
            </m:r>
          </m:sub>
        </m:sSub>
      </m:oMath>
      <w:r w:rsidR="00BA43DC" w:rsidRPr="00BE536E">
        <w:rPr>
          <w:rFonts w:ascii="Verdana" w:hAnsi="Verdana"/>
          <w:sz w:val="20"/>
          <w:szCs w:val="20"/>
        </w:rPr>
        <w:tab/>
        <w:t>- средневзвешенная доходность к погашению выпусков ОФЗ 52002RMFS, 52003RMFS на дату оценки, публикуемая Московской биржей.</w:t>
      </w:r>
    </w:p>
    <w:p w14:paraId="5409DF49" w14:textId="77777777" w:rsidR="00BA43DC" w:rsidRPr="00BE536E" w:rsidRDefault="00BA43DC" w:rsidP="00BA43DC">
      <w:pPr>
        <w:spacing w:after="0" w:line="312" w:lineRule="auto"/>
        <w:ind w:left="567"/>
        <w:jc w:val="both"/>
        <w:rPr>
          <w:rFonts w:ascii="Verdana" w:hAnsi="Verdana"/>
          <w:i/>
          <w:sz w:val="20"/>
          <w:szCs w:val="20"/>
        </w:rPr>
      </w:pPr>
    </w:p>
    <w:p w14:paraId="19C7D441"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22268833" w14:textId="77777777" w:rsidR="00BA43DC" w:rsidRPr="00BE536E" w:rsidRDefault="00BA43DC" w:rsidP="00BA43DC">
      <w:pPr>
        <w:spacing w:after="120" w:line="312" w:lineRule="auto"/>
        <w:jc w:val="both"/>
        <w:rPr>
          <w:rFonts w:ascii="Verdana" w:hAnsi="Verdana"/>
          <w:sz w:val="20"/>
          <w:szCs w:val="20"/>
        </w:rPr>
      </w:pPr>
      <w:r w:rsidRPr="00BE536E">
        <w:rPr>
          <w:rFonts w:ascii="Verdana" w:hAnsi="Verdana"/>
          <w:sz w:val="20"/>
          <w:szCs w:val="20"/>
        </w:rPr>
        <w:t xml:space="preserve">При выполнении расчета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2024-2028</m:t>
            </m:r>
          </m:sub>
        </m:sSub>
      </m:oMath>
      <w:r w:rsidRPr="00BE536E">
        <w:rPr>
          <w:rFonts w:ascii="Verdana" w:eastAsiaTheme="minorEastAsia" w:hAnsi="Verdana"/>
          <w:sz w:val="20"/>
          <w:szCs w:val="20"/>
        </w:rPr>
        <w:t>,</w:t>
      </w:r>
      <w:r w:rsidRPr="00BE536E">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2029-2030</m:t>
            </m:r>
          </m:sub>
        </m:sSub>
      </m:oMath>
      <w:r w:rsidRPr="00BE536E">
        <w:rPr>
          <w:rFonts w:ascii="Verdana" w:hAnsi="Verdana"/>
          <w:sz w:val="20"/>
          <w:szCs w:val="20"/>
        </w:rPr>
        <w:t xml:space="preserve"> значения показателей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≤2023</m:t>
            </m:r>
          </m:sub>
        </m:sSub>
      </m:oMath>
      <w:r w:rsidRPr="00BE536E">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≤2028</m:t>
            </m:r>
          </m:sub>
        </m:sSub>
      </m:oMath>
      <w:r w:rsidRPr="00BE536E">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≤2030</m:t>
            </m:r>
          </m:sub>
        </m:sSub>
      </m:oMath>
      <w:r w:rsidRPr="00BE536E">
        <w:rPr>
          <w:rFonts w:ascii="Verdana" w:hAnsi="Verdana"/>
          <w:sz w:val="20"/>
          <w:szCs w:val="20"/>
        </w:rPr>
        <w:t>, которые в результате их расчета по формулам (4), (6), (8) являются значениями в процентах, переводятся в значения в долях единицы (путем деления каждого из них на 100 - что явно отражено в формулах (5), (7)). Результат расчета по формулам (5), (7) соответствует значению в процентах, округленному до 2 знаков после запятой.</w:t>
      </w:r>
    </w:p>
    <w:p w14:paraId="3B43C40D"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начинающихся с 2031 г., в качестве прогноза инфляции используется экспертный прогноз инфляции.</w:t>
      </w:r>
    </w:p>
    <w:p w14:paraId="31C4F10D"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срок погашения долгового инструмента не превышает 2032г. и отсутствуют иные прогнозные значения переменных параметров, то влияние экспертного прогноза инфляции на результат расчета справедливой стоимости признается незначительным, расчетная цена ценной бумаги может быть классифицирована в уровень 2. В остальных случаях (помимо инфляции используются иные ненаблюдаемые данные или срок погашения превышает 2032г.) влияние экспертного прогноза инфляции признается значительным, расчетная цена ценной бумаги классифицируется в уровень 3.</w:t>
      </w:r>
    </w:p>
    <w:p w14:paraId="6B6060C1" w14:textId="77777777" w:rsidR="00BA43DC" w:rsidRPr="00BE536E" w:rsidRDefault="00BA43DC" w:rsidP="00BA43DC">
      <w:pPr>
        <w:spacing w:after="0" w:line="312" w:lineRule="auto"/>
        <w:ind w:firstLine="708"/>
        <w:jc w:val="both"/>
        <w:rPr>
          <w:rFonts w:ascii="Verdana" w:hAnsi="Verdana"/>
          <w:sz w:val="20"/>
          <w:szCs w:val="20"/>
        </w:rPr>
      </w:pPr>
    </w:p>
    <w:p w14:paraId="6B6CAE91" w14:textId="77777777" w:rsidR="00BA43DC" w:rsidRPr="00BE536E" w:rsidRDefault="00BA43DC" w:rsidP="00D05311">
      <w:pPr>
        <w:numPr>
          <w:ilvl w:val="2"/>
          <w:numId w:val="92"/>
        </w:numPr>
        <w:spacing w:after="0" w:line="312" w:lineRule="auto"/>
        <w:jc w:val="both"/>
        <w:rPr>
          <w:rFonts w:ascii="Verdana" w:hAnsi="Verdana"/>
          <w:sz w:val="20"/>
          <w:szCs w:val="20"/>
        </w:rPr>
      </w:pPr>
      <w:r w:rsidRPr="00BE536E">
        <w:rPr>
          <w:rFonts w:ascii="Verdana" w:hAnsi="Verdana"/>
          <w:sz w:val="20"/>
          <w:szCs w:val="20"/>
        </w:rPr>
        <w:lastRenderedPageBreak/>
        <w:t>Прогнозные значения прочих переменных параметров</w:t>
      </w:r>
    </w:p>
    <w:p w14:paraId="4371E497" w14:textId="77777777" w:rsidR="00BA43DC" w:rsidRPr="00BE536E" w:rsidRDefault="00BA43DC" w:rsidP="00BA43DC">
      <w:pPr>
        <w:spacing w:after="0" w:line="312" w:lineRule="auto"/>
        <w:ind w:firstLine="708"/>
        <w:jc w:val="both"/>
        <w:rPr>
          <w:rFonts w:ascii="Verdana" w:hAnsi="Verdana"/>
          <w:b/>
          <w:sz w:val="20"/>
          <w:szCs w:val="20"/>
        </w:rPr>
      </w:pPr>
      <w:r w:rsidRPr="00BE536E">
        <w:rPr>
          <w:rFonts w:ascii="Verdana" w:hAnsi="Verdana"/>
          <w:b/>
          <w:sz w:val="20"/>
          <w:szCs w:val="20"/>
        </w:rPr>
        <w:t>Прогнозные значения «коротких» ставок денежного рынка (для плавающих процентных ставок на срок предоставления денежных средств до 1 месяца включительно).</w:t>
      </w:r>
    </w:p>
    <w:p w14:paraId="035B4EB3"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К «коротким» ставкам денежного рынка относятся следующие плавающие процентные ставки, если они предусмотрены условиями выпуска оцениваемого инструмента:</w:t>
      </w:r>
    </w:p>
    <w:p w14:paraId="60E6D456" w14:textId="77777777" w:rsidR="00BA43DC" w:rsidRPr="00BE536E" w:rsidRDefault="00BA43DC" w:rsidP="00D05311">
      <w:pPr>
        <w:numPr>
          <w:ilvl w:val="0"/>
          <w:numId w:val="98"/>
        </w:numPr>
        <w:spacing w:after="0" w:line="312" w:lineRule="auto"/>
        <w:jc w:val="both"/>
        <w:rPr>
          <w:rFonts w:ascii="Verdana" w:hAnsi="Verdana"/>
          <w:sz w:val="20"/>
          <w:szCs w:val="20"/>
        </w:rPr>
      </w:pPr>
      <w:r w:rsidRPr="00BE536E">
        <w:rPr>
          <w:rFonts w:ascii="Verdana" w:hAnsi="Verdana"/>
          <w:sz w:val="20"/>
          <w:szCs w:val="20"/>
        </w:rPr>
        <w:t>ставка RUONIA</w:t>
      </w:r>
    </w:p>
    <w:p w14:paraId="126CC0A2" w14:textId="77777777" w:rsidR="00BA43DC" w:rsidRPr="00BE536E" w:rsidRDefault="00BA43DC" w:rsidP="00D05311">
      <w:pPr>
        <w:numPr>
          <w:ilvl w:val="0"/>
          <w:numId w:val="98"/>
        </w:numPr>
        <w:spacing w:after="0" w:line="312" w:lineRule="auto"/>
        <w:jc w:val="both"/>
        <w:rPr>
          <w:rFonts w:ascii="Verdana" w:hAnsi="Verdana"/>
          <w:sz w:val="20"/>
          <w:szCs w:val="20"/>
        </w:rPr>
      </w:pPr>
      <w:r w:rsidRPr="00BE536E">
        <w:rPr>
          <w:rFonts w:ascii="Verdana" w:hAnsi="Verdana"/>
          <w:sz w:val="20"/>
          <w:szCs w:val="20"/>
        </w:rPr>
        <w:t>ставка ROISfix со сроками 1 неделя, 2 недели, 1 месяц</w:t>
      </w:r>
    </w:p>
    <w:p w14:paraId="7126D513" w14:textId="77777777" w:rsidR="00BA43DC" w:rsidRPr="00BE536E" w:rsidRDefault="00BA43DC" w:rsidP="00D05311">
      <w:pPr>
        <w:numPr>
          <w:ilvl w:val="0"/>
          <w:numId w:val="98"/>
        </w:numPr>
        <w:spacing w:after="0" w:line="312" w:lineRule="auto"/>
        <w:jc w:val="both"/>
        <w:rPr>
          <w:rFonts w:ascii="Verdana" w:hAnsi="Verdana"/>
          <w:sz w:val="20"/>
          <w:szCs w:val="20"/>
        </w:rPr>
      </w:pPr>
      <w:r w:rsidRPr="00BE536E">
        <w:rPr>
          <w:rFonts w:ascii="Verdana" w:hAnsi="Verdana"/>
          <w:sz w:val="20"/>
          <w:szCs w:val="20"/>
        </w:rPr>
        <w:t>ставка MosPrime Rate со сроками «overnight», 1 неделя, 2 недели, 1 месяц</w:t>
      </w:r>
    </w:p>
    <w:p w14:paraId="79C92C04" w14:textId="77777777" w:rsidR="00BA43DC" w:rsidRPr="00BE536E" w:rsidRDefault="00BA43DC" w:rsidP="00D05311">
      <w:pPr>
        <w:numPr>
          <w:ilvl w:val="0"/>
          <w:numId w:val="98"/>
        </w:numPr>
        <w:spacing w:after="0" w:line="312" w:lineRule="auto"/>
        <w:jc w:val="both"/>
        <w:rPr>
          <w:rFonts w:ascii="Verdana" w:hAnsi="Verdana"/>
          <w:sz w:val="20"/>
          <w:szCs w:val="20"/>
        </w:rPr>
      </w:pPr>
      <w:r w:rsidRPr="00BE536E">
        <w:rPr>
          <w:rFonts w:ascii="Verdana" w:hAnsi="Verdana"/>
          <w:sz w:val="20"/>
          <w:szCs w:val="20"/>
        </w:rPr>
        <w:t>ставка РЕПО, по операциям Центрального банка Российской Федерации на срок до одного месяца (включительно)</w:t>
      </w:r>
    </w:p>
    <w:p w14:paraId="35AA87DF" w14:textId="77777777" w:rsidR="00BA43DC" w:rsidRPr="00BE536E" w:rsidRDefault="00BA43DC" w:rsidP="00D05311">
      <w:pPr>
        <w:numPr>
          <w:ilvl w:val="0"/>
          <w:numId w:val="98"/>
        </w:numPr>
        <w:spacing w:after="0" w:line="312" w:lineRule="auto"/>
        <w:jc w:val="both"/>
        <w:rPr>
          <w:rFonts w:ascii="Verdana" w:hAnsi="Verdana"/>
          <w:sz w:val="20"/>
          <w:szCs w:val="20"/>
        </w:rPr>
      </w:pPr>
      <w:r w:rsidRPr="00BE536E">
        <w:rPr>
          <w:rFonts w:ascii="Verdana" w:hAnsi="Verdana"/>
          <w:sz w:val="20"/>
          <w:szCs w:val="20"/>
        </w:rPr>
        <w:t>Ключевая ставка Центрального банка Российской Федерации</w:t>
      </w:r>
    </w:p>
    <w:p w14:paraId="6A2B3792" w14:textId="77777777" w:rsidR="00BA43DC" w:rsidRPr="00BE536E" w:rsidRDefault="00BA43DC" w:rsidP="00D05311">
      <w:pPr>
        <w:numPr>
          <w:ilvl w:val="0"/>
          <w:numId w:val="98"/>
        </w:numPr>
        <w:spacing w:after="0" w:line="312" w:lineRule="auto"/>
        <w:jc w:val="both"/>
        <w:rPr>
          <w:rFonts w:ascii="Verdana" w:hAnsi="Verdana"/>
          <w:sz w:val="20"/>
          <w:szCs w:val="20"/>
        </w:rPr>
      </w:pPr>
      <w:r w:rsidRPr="00BE536E">
        <w:rPr>
          <w:rFonts w:ascii="Verdana" w:hAnsi="Verdana"/>
          <w:sz w:val="20"/>
          <w:szCs w:val="20"/>
        </w:rPr>
        <w:t>ставка КБД на срок до одного месяца (включительно).</w:t>
      </w:r>
    </w:p>
    <w:p w14:paraId="16FFD9C6"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в качестве переменного параметра предусмотрена плавающая процентная ставка сроком до 1 месяца,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BE536E">
        <w:rPr>
          <w:rFonts w:ascii="Verdana" w:hAnsi="Verdana"/>
          <w:sz w:val="20"/>
          <w:szCs w:val="20"/>
        </w:rPr>
        <w:t>) рассчитывается по формуле (9) как разница между Ставкой КБД в точке, соответствующей средневзвешенному сроку до погашения оцениваемого инструмента, и величиной «средней процентной маржи над стоимостью фондирования»:</w:t>
      </w:r>
    </w:p>
    <w:p w14:paraId="70522C76" w14:textId="77777777" w:rsidR="00BA43DC" w:rsidRPr="00BE536E" w:rsidRDefault="00BA43DC" w:rsidP="00BA43DC">
      <w:pPr>
        <w:spacing w:after="0" w:line="312" w:lineRule="auto"/>
        <w:ind w:firstLine="708"/>
        <w:jc w:val="both"/>
        <w:rPr>
          <w:rFonts w:ascii="Verdana" w:hAnsi="Verdana"/>
          <w:sz w:val="20"/>
          <w:szCs w:val="20"/>
        </w:rPr>
      </w:pPr>
    </w:p>
    <w:p w14:paraId="1B80992A" w14:textId="77777777" w:rsidR="00BA43DC" w:rsidRPr="00BE536E" w:rsidRDefault="00A3154D" w:rsidP="00BA43DC">
      <w:pPr>
        <w:spacing w:after="0" w:line="312" w:lineRule="auto"/>
        <w:ind w:left="2124" w:firstLine="708"/>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Rate</m:t>
              </m:r>
            </m:e>
            <m:sub>
              <m:r>
                <w:rPr>
                  <w:rFonts w:ascii="Cambria Math" w:hAnsi="Cambria Math"/>
                  <w:sz w:val="20"/>
                  <w:szCs w:val="20"/>
                </w:rPr>
                <m:t>f</m:t>
              </m:r>
            </m:sub>
          </m:sSub>
          <m:r>
            <w:rPr>
              <w:rFonts w:ascii="Cambria Math" w:hAnsi="Cambria Math"/>
              <w:sz w:val="20"/>
              <w:szCs w:val="20"/>
            </w:rPr>
            <m:t>=</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до погашения</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срM</m:t>
                  </m:r>
                </m:e>
                <m:sub>
                  <m:r>
                    <w:rPr>
                      <w:rFonts w:ascii="Cambria Math" w:hAnsi="Cambria Math"/>
                      <w:sz w:val="20"/>
                      <w:szCs w:val="20"/>
                    </w:rPr>
                    <m:t>CoF</m:t>
                  </m:r>
                </m:sub>
              </m:sSub>
            </m:e>
          </m:d>
          <m:r>
            <w:rPr>
              <w:rFonts w:ascii="Cambria Math" w:hAnsi="Cambria Math"/>
              <w:sz w:val="20"/>
              <w:szCs w:val="20"/>
            </w:rPr>
            <m:t>,                                                         (9)</m:t>
          </m:r>
        </m:oMath>
      </m:oMathPara>
    </w:p>
    <w:p w14:paraId="2F80A21F" w14:textId="77777777" w:rsidR="00BA43DC" w:rsidRPr="00BE536E" w:rsidRDefault="00BA43DC" w:rsidP="00BA43DC">
      <w:pPr>
        <w:spacing w:after="0" w:line="312" w:lineRule="auto"/>
        <w:jc w:val="both"/>
        <w:rPr>
          <w:rFonts w:ascii="Verdana" w:hAnsi="Verdana"/>
          <w:sz w:val="20"/>
          <w:szCs w:val="20"/>
        </w:rPr>
      </w:pPr>
    </w:p>
    <w:p w14:paraId="74D84C23" w14:textId="77777777" w:rsidR="00BA43DC" w:rsidRPr="00BE536E" w:rsidRDefault="00A3154D" w:rsidP="00BA43DC">
      <w:pPr>
        <w:spacing w:after="0" w:line="312" w:lineRule="auto"/>
        <w:ind w:left="2124" w:firstLine="708"/>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срM</m:t>
              </m:r>
            </m:e>
            <m:sub>
              <m:r>
                <w:rPr>
                  <w:rFonts w:ascii="Cambria Math" w:hAnsi="Cambria Math"/>
                  <w:sz w:val="20"/>
                  <w:szCs w:val="20"/>
                </w:rPr>
                <m:t>CoF</m:t>
              </m:r>
            </m:sub>
          </m:sSub>
          <m:r>
            <w:rPr>
              <w:rFonts w:ascii="Cambria Math" w:hAnsi="Cambria Math"/>
              <w:sz w:val="20"/>
              <w:szCs w:val="20"/>
            </w:rPr>
            <m:t>=ОКРУГЛ(СРЗНАЧ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CoF</m:t>
                  </m:r>
                </m:sub>
              </m:sSub>
            </m:e>
          </m:d>
          <m:r>
            <w:rPr>
              <w:rFonts w:ascii="Cambria Math" w:hAnsi="Cambria Math"/>
              <w:sz w:val="20"/>
              <w:szCs w:val="20"/>
            </w:rPr>
            <m:t>,4),                                                      (10)</m:t>
          </m:r>
        </m:oMath>
      </m:oMathPara>
    </w:p>
    <w:p w14:paraId="28EDC27E" w14:textId="77777777" w:rsidR="00BA43DC" w:rsidRPr="00BE536E" w:rsidRDefault="00BA43DC" w:rsidP="00BA43DC">
      <w:pPr>
        <w:spacing w:after="0" w:line="312" w:lineRule="auto"/>
        <w:jc w:val="both"/>
        <w:rPr>
          <w:rFonts w:ascii="Verdana" w:hAnsi="Verdana"/>
          <w:sz w:val="20"/>
          <w:szCs w:val="20"/>
        </w:rPr>
      </w:pPr>
    </w:p>
    <w:p w14:paraId="444B2547" w14:textId="77777777" w:rsidR="00BA43DC" w:rsidRPr="00BE536E" w:rsidRDefault="00A3154D" w:rsidP="00BA43DC">
      <w:pPr>
        <w:spacing w:after="0" w:line="312" w:lineRule="auto"/>
        <w:ind w:left="2124" w:firstLine="708"/>
        <w:jc w:val="both"/>
        <w:rPr>
          <w:rFonts w:ascii="Verdana" w:hAnsi="Verdana"/>
          <w:i/>
          <w:sz w:val="20"/>
          <w:szCs w:val="20"/>
        </w:rPr>
      </w:pPr>
      <m:oMathPara>
        <m:oMath>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CoF</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FIX</m:t>
              </m:r>
            </m:e>
            <m:sub>
              <m:r>
                <w:rPr>
                  <w:rFonts w:ascii="Cambria Math" w:hAnsi="Cambria Math"/>
                  <w:sz w:val="20"/>
                  <w:szCs w:val="20"/>
                </w:rPr>
                <m:t>купон</m:t>
              </m:r>
            </m:sub>
          </m:sSub>
          <m:r>
            <w:rPr>
              <w:rFonts w:ascii="Cambria Math" w:hAnsi="Cambria Math"/>
              <w:sz w:val="20"/>
              <w:szCs w:val="20"/>
            </w:rPr>
            <m:t>-</m:t>
          </m:r>
          <m:f>
            <m:fPr>
              <m:ctrlPr>
                <w:rPr>
                  <w:rFonts w:ascii="Cambria Math" w:hAnsi="Cambria Math"/>
                  <w:i/>
                  <w:sz w:val="20"/>
                  <w:szCs w:val="20"/>
                </w:rPr>
              </m:ctrlPr>
            </m:fPr>
            <m:num>
              <m:d>
                <m:dPr>
                  <m:ctrlPr>
                    <w:rPr>
                      <w:rFonts w:ascii="Cambria Math" w:hAnsi="Cambria Math"/>
                      <w:i/>
                      <w:sz w:val="20"/>
                      <w:szCs w:val="20"/>
                    </w:rPr>
                  </m:ctrlPr>
                </m:dPr>
                <m:e>
                  <m:r>
                    <w:rPr>
                      <w:rFonts w:ascii="Cambria Math" w:hAnsi="Cambria Math"/>
                      <w:sz w:val="20"/>
                      <w:szCs w:val="20"/>
                    </w:rPr>
                    <m:t>P-1 000</m:t>
                  </m:r>
                </m:e>
              </m:d>
            </m:num>
            <m:den>
              <m:r>
                <w:rPr>
                  <w:rFonts w:ascii="Cambria Math" w:hAnsi="Cambria Math"/>
                  <w:sz w:val="20"/>
                  <w:szCs w:val="20"/>
                </w:rPr>
                <m:t>1 000×t</m:t>
              </m:r>
            </m:den>
          </m:f>
          <m:r>
            <w:rPr>
              <w:rFonts w:ascii="Cambria Math" w:hAnsi="Cambria Math"/>
              <w:sz w:val="20"/>
              <w:szCs w:val="20"/>
            </w:rPr>
            <m:t>,                                                               (11)</m:t>
          </m:r>
        </m:oMath>
      </m:oMathPara>
    </w:p>
    <w:p w14:paraId="11E1F5E7" w14:textId="77777777" w:rsidR="00BA43DC" w:rsidRPr="00BE536E" w:rsidRDefault="00BA43DC" w:rsidP="00BA43DC">
      <w:pPr>
        <w:spacing w:after="0" w:line="312" w:lineRule="auto"/>
        <w:ind w:firstLine="708"/>
        <w:jc w:val="both"/>
        <w:rPr>
          <w:rFonts w:ascii="Verdana" w:hAnsi="Verdana"/>
          <w:sz w:val="20"/>
          <w:szCs w:val="20"/>
          <w:lang w:val="en-US"/>
        </w:rPr>
      </w:pPr>
    </w:p>
    <w:p w14:paraId="24A361FB"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p>
    <w:p w14:paraId="2AF2A377" w14:textId="77777777" w:rsidR="00BA43DC" w:rsidRPr="00BE536E" w:rsidRDefault="00A3154D"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до погашения</m:t>
            </m:r>
          </m:sub>
        </m:sSub>
      </m:oMath>
      <w:r w:rsidR="00BA43DC" w:rsidRPr="00BE536E">
        <w:rPr>
          <w:rFonts w:ascii="Verdana" w:hAnsi="Verdana"/>
          <w:sz w:val="20"/>
          <w:szCs w:val="20"/>
        </w:rPr>
        <w:tab/>
        <w:t>- значение Ставки КБД в точке, соответствующей средневзвешенному сроку до погашения оцениваемого инструмента;</w:t>
      </w:r>
    </w:p>
    <w:p w14:paraId="3975D86F" w14:textId="77777777" w:rsidR="00BA43DC" w:rsidRPr="00BE536E" w:rsidRDefault="00A3154D"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ср</m:t>
            </m:r>
            <m:r>
              <w:rPr>
                <w:rFonts w:ascii="Cambria Math" w:hAnsi="Cambria Math"/>
                <w:sz w:val="20"/>
                <w:szCs w:val="20"/>
                <w:lang w:val="en-US"/>
              </w:rPr>
              <m:t>M</m:t>
            </m:r>
          </m:e>
          <m:sub>
            <m:r>
              <w:rPr>
                <w:rFonts w:ascii="Cambria Math" w:hAnsi="Cambria Math"/>
                <w:sz w:val="20"/>
                <w:szCs w:val="20"/>
                <w:lang w:val="en-US"/>
              </w:rPr>
              <m:t>CoF</m:t>
            </m:r>
          </m:sub>
        </m:sSub>
      </m:oMath>
      <w:r w:rsidR="00BA43DC" w:rsidRPr="00BE536E">
        <w:rPr>
          <w:rFonts w:ascii="Verdana" w:hAnsi="Verdana"/>
          <w:sz w:val="20"/>
          <w:szCs w:val="20"/>
        </w:rPr>
        <w:tab/>
        <w:t>- значение «средней процентной маржи над стоимостью фондирования», рассчитанное по формуле (10) на дату оценки инструмента как среднее арифметическое значений показателя «процентной маржи над стоимостью фондирования», рассчитанных по формуле (11), по корзине выпусков ОФЗ-ПК;</w:t>
      </w:r>
    </w:p>
    <w:p w14:paraId="78FCE9BF" w14:textId="77777777" w:rsidR="00BA43DC" w:rsidRPr="00BE536E" w:rsidRDefault="00A3154D"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M</m:t>
            </m:r>
          </m:e>
          <m:sub>
            <m:r>
              <w:rPr>
                <w:rFonts w:ascii="Cambria Math" w:hAnsi="Cambria Math"/>
                <w:sz w:val="20"/>
                <w:szCs w:val="20"/>
                <w:lang w:val="en-US"/>
              </w:rPr>
              <m:t>CoF</m:t>
            </m:r>
          </m:sub>
        </m:sSub>
      </m:oMath>
      <w:r w:rsidR="00BA43DC" w:rsidRPr="00BE536E">
        <w:rPr>
          <w:rFonts w:ascii="Verdana" w:hAnsi="Verdana"/>
          <w:sz w:val="20"/>
          <w:szCs w:val="20"/>
        </w:rPr>
        <w:tab/>
        <w:t>- значение «процентной маржи над стоимостью фондирования», рассчитанное по формуле (11) для выпуска ОФЗ-ПК, входящего в корзину выпусков ОФЗ-ПК;</w:t>
      </w:r>
    </w:p>
    <w:p w14:paraId="19A032E9" w14:textId="77777777" w:rsidR="00BA43DC" w:rsidRPr="00BE536E" w:rsidRDefault="00A3154D"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FIX</m:t>
            </m:r>
          </m:e>
          <m:sub>
            <m:r>
              <w:rPr>
                <w:rFonts w:ascii="Cambria Math" w:hAnsi="Cambria Math"/>
                <w:sz w:val="20"/>
                <w:szCs w:val="20"/>
              </w:rPr>
              <m:t>купон</m:t>
            </m:r>
          </m:sub>
        </m:sSub>
      </m:oMath>
      <w:r w:rsidR="00BA43DC" w:rsidRPr="00BE536E">
        <w:rPr>
          <w:rFonts w:ascii="Verdana" w:hAnsi="Verdana"/>
          <w:sz w:val="20"/>
          <w:szCs w:val="20"/>
        </w:rPr>
        <w:tab/>
        <w:t xml:space="preserve">значение фиксированной части купона для выпуска ОФЗ-ПК (например, для выпуска 29010RMFS купон </w:t>
      </w:r>
      <w:r w:rsidR="00BA43DC" w:rsidRPr="00BE536E">
        <w:rPr>
          <w:rFonts w:ascii="Verdana" w:hAnsi="Verdana"/>
          <w:sz w:val="20"/>
          <w:szCs w:val="20"/>
        </w:rPr>
        <w:lastRenderedPageBreak/>
        <w:t xml:space="preserve">устанавливается в величине RUONIA + 1.60% и величина </w:t>
      </w:r>
      <m:oMath>
        <m:sSub>
          <m:sSubPr>
            <m:ctrlPr>
              <w:rPr>
                <w:rFonts w:ascii="Cambria Math" w:hAnsi="Cambria Math"/>
                <w:i/>
                <w:sz w:val="20"/>
                <w:szCs w:val="20"/>
                <w:lang w:val="en-US"/>
              </w:rPr>
            </m:ctrlPr>
          </m:sSubPr>
          <m:e>
            <m:r>
              <w:rPr>
                <w:rFonts w:ascii="Cambria Math" w:hAnsi="Cambria Math"/>
                <w:sz w:val="20"/>
                <w:szCs w:val="20"/>
                <w:lang w:val="en-US"/>
              </w:rPr>
              <m:t>FIX</m:t>
            </m:r>
          </m:e>
          <m:sub>
            <m:r>
              <w:rPr>
                <w:rFonts w:ascii="Cambria Math" w:hAnsi="Cambria Math"/>
                <w:sz w:val="20"/>
                <w:szCs w:val="20"/>
              </w:rPr>
              <m:t>купон</m:t>
            </m:r>
          </m:sub>
        </m:sSub>
      </m:oMath>
      <w:r w:rsidR="00BA43DC" w:rsidRPr="00BE536E">
        <w:rPr>
          <w:rFonts w:ascii="Verdana" w:hAnsi="Verdana"/>
          <w:sz w:val="20"/>
          <w:szCs w:val="20"/>
        </w:rPr>
        <w:t xml:space="preserve"> принимается равной 1.60%);</w:t>
      </w:r>
    </w:p>
    <w:p w14:paraId="31CDC520"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lang w:val="en-US"/>
          </w:rPr>
          <m:t>P</m:t>
        </m:r>
      </m:oMath>
      <w:r w:rsidRPr="00BE536E">
        <w:rPr>
          <w:rFonts w:ascii="Verdana" w:hAnsi="Verdana"/>
          <w:sz w:val="20"/>
          <w:szCs w:val="20"/>
        </w:rPr>
        <w:tab/>
        <w:t>- цена (без учета купонного дохода) конкретного выпуска ОФЗ-ПК на дату расчета в рублях;</w:t>
      </w:r>
    </w:p>
    <w:p w14:paraId="3E10241B" w14:textId="77777777" w:rsidR="00BA43DC" w:rsidRPr="00BE536E" w:rsidRDefault="00BA43DC" w:rsidP="00BA43DC">
      <w:pPr>
        <w:spacing w:after="0" w:line="312" w:lineRule="auto"/>
        <w:ind w:left="3533" w:hanging="2117"/>
        <w:jc w:val="both"/>
        <w:rPr>
          <w:rFonts w:ascii="Verdana" w:hAnsi="Verdana"/>
          <w:sz w:val="20"/>
          <w:szCs w:val="20"/>
        </w:rPr>
      </w:pPr>
      <m:oMath>
        <m:r>
          <w:rPr>
            <w:rFonts w:ascii="Cambria Math" w:hAnsi="Cambria Math"/>
            <w:sz w:val="20"/>
            <w:szCs w:val="20"/>
            <w:lang w:val="en-US"/>
          </w:rPr>
          <m:t>t</m:t>
        </m:r>
      </m:oMath>
      <w:r w:rsidRPr="00BE536E">
        <w:rPr>
          <w:rFonts w:ascii="Verdana" w:hAnsi="Verdana"/>
          <w:sz w:val="20"/>
          <w:szCs w:val="20"/>
        </w:rPr>
        <w:tab/>
        <w:t>- средневзвешенный срок до погашения конкретного выпуска ОФЗ-ПК.</w:t>
      </w:r>
    </w:p>
    <w:p w14:paraId="0C460497" w14:textId="77777777" w:rsidR="00BA43DC" w:rsidRPr="00BE536E" w:rsidRDefault="00BA43DC" w:rsidP="00BA43DC">
      <w:pPr>
        <w:spacing w:after="0" w:line="312" w:lineRule="auto"/>
        <w:ind w:left="707" w:firstLine="709"/>
        <w:jc w:val="both"/>
        <w:rPr>
          <w:rFonts w:ascii="Verdana" w:hAnsi="Verdana"/>
          <w:i/>
          <w:sz w:val="20"/>
          <w:szCs w:val="20"/>
        </w:rPr>
      </w:pPr>
    </w:p>
    <w:p w14:paraId="752AD418"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07178240" w14:textId="77777777" w:rsidR="00BA43DC" w:rsidRPr="00BE536E" w:rsidRDefault="00BA43DC" w:rsidP="00BA43DC">
      <w:pPr>
        <w:spacing w:after="0" w:line="312" w:lineRule="auto"/>
        <w:ind w:firstLine="707"/>
        <w:jc w:val="both"/>
        <w:rPr>
          <w:rFonts w:ascii="Verdana" w:hAnsi="Verdana"/>
          <w:sz w:val="20"/>
          <w:szCs w:val="20"/>
        </w:rPr>
      </w:pPr>
      <w:r w:rsidRPr="00BE536E">
        <w:rPr>
          <w:rFonts w:ascii="Verdana" w:hAnsi="Verdana"/>
          <w:sz w:val="20"/>
          <w:szCs w:val="20"/>
        </w:rPr>
        <w:t xml:space="preserve">На дату утверждения настоящей редакции Методики корзина выпусков ОФЗ-ПК (перечень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включает следующие выпуски: 29006RMFS; 29007RMFS; 29008RMFS; 29009RMFS; 29010RMFS; 29012RMFS; 29013RMFS; 29014RMFS; 29015RMFS; 29016RMFS; 29017RMFS; 29018RMFS; 29019RMFS; 24020RMFS; 24021RMFS.</w:t>
      </w:r>
    </w:p>
    <w:p w14:paraId="2BEC8986" w14:textId="77777777" w:rsidR="00BA43DC" w:rsidRPr="00BE536E" w:rsidRDefault="00BA43DC" w:rsidP="00BA43DC">
      <w:pPr>
        <w:spacing w:after="0" w:line="312" w:lineRule="auto"/>
        <w:ind w:left="567"/>
        <w:jc w:val="both"/>
        <w:rPr>
          <w:rFonts w:ascii="Verdana" w:hAnsi="Verdana"/>
          <w:sz w:val="20"/>
          <w:szCs w:val="20"/>
        </w:rPr>
      </w:pPr>
    </w:p>
    <w:p w14:paraId="2C649CF8" w14:textId="77777777" w:rsidR="00BA43DC" w:rsidRPr="00BE536E" w:rsidRDefault="00BA43DC" w:rsidP="00BA43DC">
      <w:pPr>
        <w:spacing w:after="0" w:line="312" w:lineRule="auto"/>
        <w:ind w:firstLine="567"/>
        <w:jc w:val="both"/>
        <w:rPr>
          <w:rFonts w:ascii="Verdana" w:eastAsiaTheme="minorEastAsia" w:hAnsi="Verdana"/>
          <w:iCs/>
          <w:color w:val="000000" w:themeColor="text1"/>
          <w:sz w:val="20"/>
          <w:szCs w:val="20"/>
        </w:rPr>
      </w:pPr>
      <w:r w:rsidRPr="00BE536E">
        <w:rPr>
          <w:rFonts w:ascii="Verdana" w:hAnsi="Verdana"/>
          <w:sz w:val="20"/>
          <w:szCs w:val="20"/>
        </w:rPr>
        <w:t xml:space="preserve">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eastAsiaTheme="minorEastAsia" w:hAnsi="Verdana"/>
          <w:iCs/>
          <w:color w:val="000000" w:themeColor="text1"/>
          <w:sz w:val="20"/>
          <w:szCs w:val="20"/>
        </w:rPr>
        <w:t>, пересматривается ПИФ в следующих случаях:</w:t>
      </w:r>
    </w:p>
    <w:p w14:paraId="2AE68DEB" w14:textId="77777777" w:rsidR="00BA43DC" w:rsidRPr="00BE536E" w:rsidRDefault="00BA43DC" w:rsidP="00D05311">
      <w:pPr>
        <w:numPr>
          <w:ilvl w:val="0"/>
          <w:numId w:val="99"/>
        </w:numPr>
        <w:spacing w:after="0" w:line="312" w:lineRule="auto"/>
        <w:jc w:val="both"/>
        <w:rPr>
          <w:rFonts w:ascii="Verdana" w:hAnsi="Verdana"/>
          <w:sz w:val="20"/>
          <w:szCs w:val="20"/>
        </w:rPr>
      </w:pPr>
      <w:r w:rsidRPr="00BE536E">
        <w:rPr>
          <w:rFonts w:ascii="Verdana" w:hAnsi="Verdana"/>
          <w:sz w:val="20"/>
          <w:szCs w:val="20"/>
        </w:rPr>
        <w:t>размещение новых выпусков ОФЗ-ПК;</w:t>
      </w:r>
    </w:p>
    <w:p w14:paraId="69DF3035" w14:textId="77777777" w:rsidR="00BA43DC" w:rsidRPr="00BE536E" w:rsidRDefault="00BA43DC" w:rsidP="00D05311">
      <w:pPr>
        <w:numPr>
          <w:ilvl w:val="0"/>
          <w:numId w:val="99"/>
        </w:numPr>
        <w:spacing w:after="0" w:line="312" w:lineRule="auto"/>
        <w:jc w:val="both"/>
        <w:rPr>
          <w:rFonts w:ascii="Verdana" w:hAnsi="Verdana"/>
          <w:sz w:val="20"/>
          <w:szCs w:val="20"/>
        </w:rPr>
      </w:pPr>
      <w:r w:rsidRPr="00BE536E">
        <w:rPr>
          <w:rFonts w:ascii="Verdana" w:hAnsi="Verdana"/>
          <w:sz w:val="20"/>
          <w:szCs w:val="20"/>
        </w:rPr>
        <w:t>установление ранее неопределенных ставок купона на весь ожидаемый срок обращения ОФЗ-ПК, включенного в корзину.</w:t>
      </w:r>
    </w:p>
    <w:p w14:paraId="3249582B" w14:textId="77777777" w:rsidR="00BA43DC" w:rsidRPr="00BE536E" w:rsidRDefault="00BA43DC" w:rsidP="00BA43DC">
      <w:pPr>
        <w:spacing w:after="0" w:line="312" w:lineRule="auto"/>
        <w:ind w:firstLine="567"/>
        <w:jc w:val="both"/>
        <w:rPr>
          <w:rFonts w:ascii="Verdana" w:hAnsi="Verdana"/>
          <w:sz w:val="20"/>
          <w:szCs w:val="20"/>
        </w:rPr>
      </w:pPr>
      <w:r w:rsidRPr="00BE536E">
        <w:rPr>
          <w:rFonts w:ascii="Verdana" w:hAnsi="Verdana"/>
          <w:sz w:val="20"/>
          <w:szCs w:val="20"/>
        </w:rPr>
        <w:t xml:space="preserve">Новый 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eastAsiaTheme="minorEastAsia" w:hAnsi="Verdana"/>
          <w:iCs/>
          <w:color w:val="000000" w:themeColor="text1"/>
          <w:sz w:val="20"/>
          <w:szCs w:val="20"/>
        </w:rPr>
        <w:t>,</w:t>
      </w:r>
      <w:r w:rsidRPr="00BE536E">
        <w:rPr>
          <w:rFonts w:ascii="Verdana" w:hAnsi="Verdana"/>
          <w:sz w:val="20"/>
          <w:szCs w:val="20"/>
        </w:rPr>
        <w:t xml:space="preserve"> и дата начала его применения устанавливаются ПИФ по согласованию со СД  и не требуют оперативного внесения соответствующих изменений в настоящую Методику (утверждения новой редакции Методики).</w:t>
      </w:r>
    </w:p>
    <w:p w14:paraId="42C82736" w14:textId="77777777" w:rsidR="00BA43DC" w:rsidRPr="00BE536E" w:rsidRDefault="00BA43DC" w:rsidP="00BA43DC">
      <w:pPr>
        <w:spacing w:after="0" w:line="312" w:lineRule="auto"/>
        <w:jc w:val="both"/>
        <w:rPr>
          <w:rFonts w:ascii="Verdana" w:hAnsi="Verdana"/>
          <w:sz w:val="20"/>
          <w:szCs w:val="20"/>
        </w:rPr>
      </w:pPr>
    </w:p>
    <w:p w14:paraId="1395284C" w14:textId="77777777" w:rsidR="00BA43DC" w:rsidRPr="00BE536E" w:rsidRDefault="00BA43DC" w:rsidP="00BA43DC">
      <w:pPr>
        <w:spacing w:after="0" w:line="312" w:lineRule="auto"/>
        <w:ind w:firstLine="709"/>
        <w:jc w:val="both"/>
        <w:rPr>
          <w:rFonts w:ascii="Verdana" w:hAnsi="Verdana"/>
          <w:strike/>
          <w:sz w:val="20"/>
          <w:szCs w:val="20"/>
        </w:rPr>
      </w:pPr>
      <w:r w:rsidRPr="00BE536E">
        <w:rPr>
          <w:rFonts w:ascii="Verdana" w:hAnsi="Verdana"/>
          <w:sz w:val="20"/>
          <w:szCs w:val="20"/>
        </w:rPr>
        <w:t xml:space="preserve">Цена </w:t>
      </w:r>
      <m:oMath>
        <m:r>
          <w:rPr>
            <w:rFonts w:ascii="Cambria Math" w:hAnsi="Cambria Math"/>
            <w:sz w:val="20"/>
            <w:szCs w:val="20"/>
            <w:lang w:val="en-US"/>
          </w:rPr>
          <m:t>P</m:t>
        </m:r>
      </m:oMath>
      <w:r w:rsidRPr="00BE536E">
        <w:rPr>
          <w:rFonts w:ascii="Verdana" w:hAnsi="Verdana"/>
          <w:sz w:val="20"/>
          <w:szCs w:val="20"/>
        </w:rPr>
        <w:t xml:space="preserve"> выпуска ОФЗ-ПК определяется по данным Московской биржи, если она является активным рынком в отношении конкретной ОФЗ-ПК, в порядке, аналогичном установленному Алгоритмом 1 для расчета цены уровня 1.</w:t>
      </w:r>
    </w:p>
    <w:p w14:paraId="5C37B1BE"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 xml:space="preserve">Если на дату расчета цена </w:t>
      </w:r>
      <m:oMath>
        <m:r>
          <w:rPr>
            <w:rFonts w:ascii="Cambria Math" w:hAnsi="Cambria Math"/>
            <w:sz w:val="20"/>
            <w:szCs w:val="20"/>
            <w:lang w:val="en-US"/>
          </w:rPr>
          <m:t>P</m:t>
        </m:r>
      </m:oMath>
      <w:r w:rsidRPr="00BE536E">
        <w:rPr>
          <w:rFonts w:ascii="Verdana" w:hAnsi="Verdana"/>
          <w:sz w:val="20"/>
          <w:szCs w:val="20"/>
        </w:rPr>
        <w:t xml:space="preserve"> конкретного выпуска ОФЗ-ПК не определена (в т.ч. по причине того, что Московская биржа не является в дату расчета активным рынком для выпуска), то такой выпуск ОФЗ-ПК не включается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eastAsiaTheme="minorEastAsia" w:hAnsi="Verdana"/>
          <w:iCs/>
          <w:color w:val="000000" w:themeColor="text1"/>
          <w:sz w:val="20"/>
          <w:szCs w:val="20"/>
        </w:rPr>
        <w:t>.</w:t>
      </w:r>
    </w:p>
    <w:p w14:paraId="5FAAA076" w14:textId="77777777" w:rsidR="00BA43DC" w:rsidRPr="00BE536E" w:rsidRDefault="00BA43DC" w:rsidP="00BA43DC">
      <w:pPr>
        <w:spacing w:after="0" w:line="312" w:lineRule="auto"/>
        <w:ind w:left="707" w:firstLine="709"/>
        <w:jc w:val="both"/>
        <w:rPr>
          <w:rFonts w:ascii="Verdana" w:hAnsi="Verdana"/>
          <w:i/>
          <w:sz w:val="20"/>
          <w:szCs w:val="20"/>
        </w:rPr>
      </w:pPr>
    </w:p>
    <w:p w14:paraId="2FDAB1EC"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73E88984"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 xml:space="preserve">Показатель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xml:space="preserve"> отражает премию свыше стоимости фондирования (по ставке денежного рынка - RUONIA), которую инвесторы закладывают при покупке ОФЗ. Таким образом, рыночные ожидания по стоимости фондирования (по прогнозному значению ставки RUONIA) возможно определить как разницу между значением КБД в точке, соответствующей средневзвешенному сроку до погашения данной ОФЗ и показателем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xml:space="preserve">. </w:t>
      </w:r>
    </w:p>
    <w:p w14:paraId="3AF0848A"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 xml:space="preserve">Например, при ставке 5-летней ОФЗ в размере 8.57% и значения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xml:space="preserve"> в размере 0.52% рыночные ожидания по среднему значению ставки RUONIA в течение 5 лет составят 8.02%.</w:t>
      </w:r>
    </w:p>
    <w:p w14:paraId="38197814" w14:textId="77777777" w:rsidR="00BA43DC" w:rsidRPr="00BE536E" w:rsidRDefault="00BA43DC" w:rsidP="00BA43DC">
      <w:pPr>
        <w:spacing w:after="0" w:line="312" w:lineRule="auto"/>
        <w:jc w:val="both"/>
        <w:rPr>
          <w:rFonts w:ascii="Verdana" w:hAnsi="Verdana"/>
          <w:b/>
          <w:sz w:val="20"/>
          <w:szCs w:val="20"/>
        </w:rPr>
      </w:pPr>
    </w:p>
    <w:p w14:paraId="442057DB" w14:textId="77777777" w:rsidR="00BA43DC" w:rsidRPr="00BE536E" w:rsidRDefault="00BA43DC" w:rsidP="00BA43DC">
      <w:pPr>
        <w:spacing w:after="0" w:line="312" w:lineRule="auto"/>
        <w:ind w:firstLine="709"/>
        <w:jc w:val="both"/>
        <w:rPr>
          <w:rFonts w:ascii="Verdana" w:hAnsi="Verdana"/>
          <w:b/>
          <w:sz w:val="20"/>
          <w:szCs w:val="20"/>
        </w:rPr>
      </w:pPr>
      <w:r w:rsidRPr="00BE536E">
        <w:rPr>
          <w:rFonts w:ascii="Verdana" w:hAnsi="Verdana"/>
          <w:b/>
          <w:sz w:val="20"/>
          <w:szCs w:val="20"/>
        </w:rPr>
        <w:t>Прогнозные значения ставок денежного рынка «средней» срочности (для плавающих процентных ставок на срок предоставления денежных средств от 1 месяца до 2 лет включительно)</w:t>
      </w:r>
    </w:p>
    <w:p w14:paraId="27D73611"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К ставкам денежного рынка «средней» срочности относятся следующие плавающие процентные ставки, если они предусмотрены условиями выпуска оцениваемого инструмента:</w:t>
      </w:r>
    </w:p>
    <w:p w14:paraId="0641E4EC" w14:textId="77777777" w:rsidR="00BA43DC" w:rsidRPr="00BE536E" w:rsidRDefault="00BA43DC" w:rsidP="00D05311">
      <w:pPr>
        <w:numPr>
          <w:ilvl w:val="0"/>
          <w:numId w:val="97"/>
        </w:numPr>
        <w:spacing w:after="0" w:line="312" w:lineRule="auto"/>
        <w:ind w:left="709" w:firstLine="0"/>
        <w:jc w:val="both"/>
        <w:rPr>
          <w:rFonts w:ascii="Verdana" w:hAnsi="Verdana"/>
          <w:sz w:val="20"/>
          <w:szCs w:val="20"/>
        </w:rPr>
      </w:pPr>
      <w:r w:rsidRPr="00BE536E">
        <w:rPr>
          <w:rFonts w:ascii="Verdana" w:hAnsi="Verdana"/>
          <w:sz w:val="20"/>
          <w:szCs w:val="20"/>
        </w:rPr>
        <w:t>ставка ROISfix со сроками 2 месяца, 3 месяца, 6 месяцев;</w:t>
      </w:r>
    </w:p>
    <w:p w14:paraId="28F7F4CC" w14:textId="77777777" w:rsidR="00BA43DC" w:rsidRPr="00BE536E" w:rsidRDefault="00BA43DC" w:rsidP="00D05311">
      <w:pPr>
        <w:numPr>
          <w:ilvl w:val="0"/>
          <w:numId w:val="97"/>
        </w:numPr>
        <w:spacing w:after="0" w:line="312" w:lineRule="auto"/>
        <w:ind w:left="709" w:firstLine="0"/>
        <w:jc w:val="both"/>
        <w:rPr>
          <w:rFonts w:ascii="Verdana" w:hAnsi="Verdana"/>
          <w:sz w:val="20"/>
          <w:szCs w:val="20"/>
        </w:rPr>
      </w:pPr>
      <w:r w:rsidRPr="00BE536E">
        <w:rPr>
          <w:rFonts w:ascii="Verdana" w:hAnsi="Verdana"/>
          <w:sz w:val="20"/>
          <w:szCs w:val="20"/>
        </w:rPr>
        <w:t>ставка MosPrime Rate со сроками 2 месяца, 3 месяца, 6 месяцев;</w:t>
      </w:r>
    </w:p>
    <w:p w14:paraId="4B76FF64" w14:textId="77777777" w:rsidR="00BA43DC" w:rsidRPr="00BE536E" w:rsidRDefault="00BA43DC" w:rsidP="00D05311">
      <w:pPr>
        <w:numPr>
          <w:ilvl w:val="0"/>
          <w:numId w:val="97"/>
        </w:numPr>
        <w:spacing w:after="0" w:line="312" w:lineRule="auto"/>
        <w:ind w:left="709" w:firstLine="0"/>
        <w:jc w:val="both"/>
        <w:rPr>
          <w:rFonts w:ascii="Verdana" w:hAnsi="Verdana"/>
          <w:sz w:val="20"/>
          <w:szCs w:val="20"/>
        </w:rPr>
      </w:pPr>
      <w:r w:rsidRPr="00BE536E">
        <w:rPr>
          <w:rFonts w:ascii="Verdana" w:hAnsi="Verdana"/>
          <w:sz w:val="20"/>
          <w:szCs w:val="20"/>
        </w:rPr>
        <w:t>ставка КБД на срок от 1 месяца до 2 лет (включительно).</w:t>
      </w:r>
    </w:p>
    <w:p w14:paraId="2F306B88"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в качестве переменного параметра предусмотрена плавающая процентная ставка сроком от 1 месяца до 2 лет,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BE536E">
        <w:rPr>
          <w:rFonts w:ascii="Verdana" w:hAnsi="Verdana"/>
          <w:sz w:val="20"/>
          <w:szCs w:val="20"/>
        </w:rPr>
        <w:t>) рассчитывается по формуле (12) как прогнозное значение «короткой» ставки денежного рынка на анализируемом периоде, увеличенное на разницу между безрисковой доходностью «среднего» срока и «короткой» безрисковой доходностью:</w:t>
      </w:r>
    </w:p>
    <w:p w14:paraId="6F9A0FD4" w14:textId="77777777" w:rsidR="00BA43DC" w:rsidRPr="00BE536E" w:rsidRDefault="00BA43DC" w:rsidP="00BA43DC">
      <w:pPr>
        <w:spacing w:after="0" w:line="312" w:lineRule="auto"/>
        <w:jc w:val="both"/>
        <w:rPr>
          <w:rFonts w:ascii="Verdana" w:hAnsi="Verdana"/>
          <w:sz w:val="20"/>
          <w:szCs w:val="20"/>
        </w:rPr>
      </w:pPr>
    </w:p>
    <w:p w14:paraId="045E268A" w14:textId="77777777" w:rsidR="00BA43DC" w:rsidRPr="00BE536E" w:rsidRDefault="00A3154D"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Rate</m:t>
              </m:r>
            </m:e>
            <m:sub>
              <m:r>
                <w:rPr>
                  <w:rFonts w:ascii="Cambria Math" w:hAnsi="Cambria Math"/>
                  <w:sz w:val="20"/>
                  <w:szCs w:val="20"/>
                  <w:lang w:val="en-US"/>
                </w:rPr>
                <m:t>f</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до погашения</m:t>
                  </m:r>
                </m:sub>
              </m:sSub>
              <m:r>
                <w:rPr>
                  <w:rFonts w:ascii="Cambria Math" w:hAnsi="Cambria Math"/>
                  <w:sz w:val="20"/>
                  <w:szCs w:val="20"/>
                  <w:lang w:val="en-US"/>
                </w:rPr>
                <m:t>-ср</m:t>
              </m:r>
              <m:sSub>
                <m:sSubPr>
                  <m:ctrlPr>
                    <w:rPr>
                      <w:rFonts w:ascii="Cambria Math" w:hAnsi="Cambria Math"/>
                      <w:i/>
                      <w:sz w:val="20"/>
                      <w:szCs w:val="20"/>
                      <w:lang w:val="en-US"/>
                    </w:rPr>
                  </m:ctrlPr>
                </m:sSubPr>
                <m:e>
                  <m:r>
                    <w:rPr>
                      <w:rFonts w:ascii="Cambria Math" w:hAnsi="Cambria Math"/>
                      <w:sz w:val="20"/>
                      <w:szCs w:val="20"/>
                      <w:lang w:val="en-US"/>
                    </w:rPr>
                    <m:t>M</m:t>
                  </m:r>
                </m:e>
                <m:sub>
                  <m:r>
                    <w:rPr>
                      <w:rFonts w:ascii="Cambria Math" w:hAnsi="Cambria Math"/>
                      <w:sz w:val="20"/>
                      <w:szCs w:val="20"/>
                      <w:lang w:val="en-US"/>
                    </w:rPr>
                    <m:t>CoF</m:t>
                  </m:r>
                </m:sub>
              </m:sSub>
            </m:e>
          </m:d>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срочность ставки</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1 день</m:t>
                  </m:r>
                </m:sub>
              </m:sSub>
            </m:e>
          </m:d>
          <m:r>
            <w:rPr>
              <w:rFonts w:ascii="Cambria Math" w:hAnsi="Cambria Math"/>
              <w:sz w:val="20"/>
              <w:szCs w:val="20"/>
            </w:rPr>
            <m:t>,                        (12)</m:t>
          </m:r>
        </m:oMath>
      </m:oMathPara>
    </w:p>
    <w:p w14:paraId="2AF92C9D"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p>
    <w:p w14:paraId="34314A85" w14:textId="77777777" w:rsidR="00BA43DC" w:rsidRPr="00BE536E" w:rsidRDefault="00A3154D"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срочность ставки</m:t>
            </m:r>
          </m:sub>
        </m:sSub>
      </m:oMath>
      <w:r w:rsidR="00BA43DC" w:rsidRPr="00BE536E">
        <w:rPr>
          <w:rFonts w:ascii="Verdana" w:hAnsi="Verdana"/>
          <w:sz w:val="20"/>
          <w:szCs w:val="20"/>
        </w:rPr>
        <w:tab/>
        <w:t>- значение Ставки КБД в точке, соответствующей срочности ставки денежного рынка (например, если значение ставки купона определяется как значение бескупонной доходности госбумаг на срок 24 месяца, то КБД для 2-х лет; если к MosPrime6M – то КБД для 6 месяцев);</w:t>
      </w:r>
    </w:p>
    <w:p w14:paraId="62048EBB" w14:textId="77777777" w:rsidR="00BA43DC" w:rsidRPr="00BE536E" w:rsidRDefault="00A3154D" w:rsidP="00BA43DC">
      <w:pPr>
        <w:spacing w:after="0" w:line="312" w:lineRule="auto"/>
        <w:ind w:left="3533" w:hanging="2117"/>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w:rPr>
                <w:rFonts w:ascii="Cambria Math" w:hAnsi="Cambria Math"/>
                <w:sz w:val="20"/>
                <w:szCs w:val="20"/>
              </w:rPr>
              <m:t>1 день</m:t>
            </m:r>
          </m:sub>
        </m:sSub>
      </m:oMath>
      <w:r w:rsidR="00BA43DC" w:rsidRPr="00BE536E">
        <w:rPr>
          <w:rFonts w:ascii="Verdana" w:hAnsi="Verdana"/>
          <w:sz w:val="20"/>
          <w:szCs w:val="20"/>
        </w:rPr>
        <w:tab/>
        <w:t>- значение Ставки КБД в точке, соответствующей сроку в 0.0027 года.</w:t>
      </w:r>
    </w:p>
    <w:p w14:paraId="63E48189" w14:textId="77777777" w:rsidR="00BA43DC" w:rsidRPr="00BE536E" w:rsidRDefault="00BA43DC" w:rsidP="00BA43DC">
      <w:pPr>
        <w:spacing w:after="0" w:line="312" w:lineRule="auto"/>
        <w:ind w:left="707" w:firstLine="709"/>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504A4A4C" w14:textId="77777777" w:rsidR="00BA43DC" w:rsidRPr="00BE536E" w:rsidRDefault="00BA43DC" w:rsidP="00BA43DC">
      <w:pPr>
        <w:spacing w:after="0" w:line="312" w:lineRule="auto"/>
        <w:ind w:left="1416"/>
        <w:jc w:val="both"/>
        <w:rPr>
          <w:rFonts w:ascii="Verdana" w:hAnsi="Verdana"/>
          <w:sz w:val="20"/>
          <w:szCs w:val="20"/>
        </w:rPr>
      </w:pPr>
      <w:r w:rsidRPr="00BE536E">
        <w:rPr>
          <w:rFonts w:ascii="Verdana" w:hAnsi="Verdana"/>
          <w:sz w:val="20"/>
          <w:szCs w:val="20"/>
        </w:rPr>
        <w:t xml:space="preserve">При определении значения </w:t>
      </w:r>
      <m:oMath>
        <m:sSub>
          <m:sSubPr>
            <m:ctrlPr>
              <w:rPr>
                <w:rFonts w:ascii="Cambria Math" w:hAnsi="Cambria Math"/>
                <w:sz w:val="20"/>
                <w:szCs w:val="20"/>
              </w:rPr>
            </m:ctrlPr>
          </m:sSubPr>
          <m:e>
            <m:r>
              <m:rPr>
                <m:sty m:val="p"/>
              </m:rPr>
              <w:rPr>
                <w:rFonts w:ascii="Cambria Math" w:hAnsi="Cambria Math"/>
                <w:sz w:val="20"/>
                <w:szCs w:val="20"/>
              </w:rPr>
              <m:t>КБД</m:t>
            </m:r>
          </m:e>
          <m:sub>
            <m:r>
              <m:rPr>
                <m:sty m:val="p"/>
              </m:rPr>
              <w:rPr>
                <w:rFonts w:ascii="Cambria Math" w:hAnsi="Cambria Math"/>
                <w:sz w:val="20"/>
                <w:szCs w:val="20"/>
              </w:rPr>
              <m:t>срочность ставки</m:t>
            </m:r>
          </m:sub>
        </m:sSub>
      </m:oMath>
      <w:r w:rsidRPr="00BE536E">
        <w:rPr>
          <w:rFonts w:ascii="Verdana" w:hAnsi="Verdana"/>
          <w:sz w:val="20"/>
          <w:szCs w:val="20"/>
        </w:rPr>
        <w:t xml:space="preserve"> точка, соответствующая срочности переменного параметра плавающей процентной ставки, определяется в следующем порядке.</w:t>
      </w:r>
    </w:p>
    <w:p w14:paraId="4D11242B" w14:textId="77777777" w:rsidR="00BA43DC" w:rsidRPr="00BE536E" w:rsidRDefault="00BA43DC" w:rsidP="00BA43DC">
      <w:pPr>
        <w:spacing w:after="0" w:line="312" w:lineRule="auto"/>
        <w:jc w:val="both"/>
        <w:rPr>
          <w:rFonts w:ascii="Verdana" w:hAnsi="Verdana"/>
          <w:sz w:val="20"/>
          <w:szCs w:val="20"/>
        </w:rPr>
      </w:pPr>
    </w:p>
    <w:p w14:paraId="25A5684E"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b/>
          <w:sz w:val="20"/>
          <w:szCs w:val="20"/>
        </w:rPr>
        <w:t>Ставка КБД</w:t>
      </w:r>
      <w:r w:rsidRPr="00BE536E">
        <w:rPr>
          <w:rFonts w:ascii="Verdana" w:hAnsi="Verdana"/>
          <w:sz w:val="20"/>
          <w:szCs w:val="20"/>
        </w:rPr>
        <w:t xml:space="preserve"> (значение кривой бескупонной доходности) может рассчитываться в точке, соответствующей:</w:t>
      </w:r>
    </w:p>
    <w:p w14:paraId="559F3447" w14:textId="77777777" w:rsidR="00BA43DC" w:rsidRPr="00BE536E" w:rsidRDefault="00BA43DC" w:rsidP="00D05311">
      <w:pPr>
        <w:numPr>
          <w:ilvl w:val="0"/>
          <w:numId w:val="100"/>
        </w:numPr>
        <w:spacing w:line="312" w:lineRule="auto"/>
        <w:jc w:val="both"/>
        <w:rPr>
          <w:rFonts w:ascii="Verdana" w:hAnsi="Verdana"/>
          <w:sz w:val="20"/>
          <w:szCs w:val="20"/>
        </w:rPr>
      </w:pPr>
      <w:r w:rsidRPr="00BE536E">
        <w:rPr>
          <w:rFonts w:ascii="Verdana" w:hAnsi="Verdana"/>
          <w:sz w:val="20"/>
          <w:szCs w:val="20"/>
        </w:rPr>
        <w:t>средневзвешенному сроку погашения / оферты по ценной бумаге</w:t>
      </w:r>
      <w:r w:rsidRPr="00BE536E">
        <w:rPr>
          <w:rStyle w:val="ab"/>
          <w:rFonts w:ascii="Verdana" w:hAnsi="Verdana"/>
        </w:rPr>
        <w:footnoteReference w:id="37"/>
      </w:r>
      <w:r w:rsidRPr="00BE536E">
        <w:rPr>
          <w:rFonts w:ascii="Verdana" w:hAnsi="Verdana"/>
          <w:sz w:val="20"/>
          <w:szCs w:val="20"/>
        </w:rPr>
        <w:t>, или</w:t>
      </w:r>
    </w:p>
    <w:p w14:paraId="57A56D9F" w14:textId="77777777" w:rsidR="00BA43DC" w:rsidRPr="00BE536E" w:rsidRDefault="00BA43DC" w:rsidP="00D05311">
      <w:pPr>
        <w:numPr>
          <w:ilvl w:val="0"/>
          <w:numId w:val="100"/>
        </w:numPr>
        <w:spacing w:line="312" w:lineRule="auto"/>
        <w:jc w:val="both"/>
        <w:rPr>
          <w:rFonts w:ascii="Verdana" w:hAnsi="Verdana"/>
          <w:sz w:val="20"/>
          <w:szCs w:val="20"/>
        </w:rPr>
      </w:pPr>
      <w:r w:rsidRPr="00BE536E">
        <w:rPr>
          <w:rFonts w:ascii="Verdana" w:hAnsi="Verdana"/>
          <w:sz w:val="20"/>
          <w:szCs w:val="20"/>
        </w:rPr>
        <w:t>сроку погашения депозита или</w:t>
      </w:r>
    </w:p>
    <w:p w14:paraId="006B40D6" w14:textId="77777777" w:rsidR="00BA43DC" w:rsidRPr="00BE536E" w:rsidRDefault="00BA43DC" w:rsidP="00D05311">
      <w:pPr>
        <w:numPr>
          <w:ilvl w:val="0"/>
          <w:numId w:val="100"/>
        </w:numPr>
        <w:spacing w:line="312" w:lineRule="auto"/>
        <w:jc w:val="both"/>
        <w:rPr>
          <w:rFonts w:ascii="Verdana" w:hAnsi="Verdana"/>
          <w:sz w:val="20"/>
          <w:szCs w:val="20"/>
        </w:rPr>
      </w:pPr>
      <w:r w:rsidRPr="00BE536E">
        <w:rPr>
          <w:rFonts w:ascii="Verdana" w:hAnsi="Verdana"/>
          <w:sz w:val="20"/>
          <w:szCs w:val="20"/>
        </w:rPr>
        <w:lastRenderedPageBreak/>
        <w:t>срочности процентной ставки в случаях, предусмотренных п.4 настоящей Методики, или</w:t>
      </w:r>
    </w:p>
    <w:p w14:paraId="2DA2FD94" w14:textId="77777777" w:rsidR="00BA43DC" w:rsidRPr="00BE536E" w:rsidRDefault="00BA43DC" w:rsidP="00D05311">
      <w:pPr>
        <w:numPr>
          <w:ilvl w:val="0"/>
          <w:numId w:val="100"/>
        </w:numPr>
        <w:spacing w:line="312" w:lineRule="auto"/>
        <w:jc w:val="both"/>
        <w:rPr>
          <w:rFonts w:ascii="Verdana" w:hAnsi="Verdana"/>
          <w:sz w:val="20"/>
          <w:szCs w:val="20"/>
        </w:rPr>
      </w:pPr>
      <w:r w:rsidRPr="00BE536E">
        <w:rPr>
          <w:rFonts w:ascii="Verdana" w:hAnsi="Verdana"/>
          <w:sz w:val="20"/>
          <w:szCs w:val="20"/>
        </w:rPr>
        <w:t>дюрации биржевого индекса в случаях, предусмотренных Приложением В к настоящей Методике, или</w:t>
      </w:r>
    </w:p>
    <w:p w14:paraId="60E6D435" w14:textId="77777777" w:rsidR="00BA43DC" w:rsidRPr="00BE536E" w:rsidRDefault="00BA43DC" w:rsidP="00D05311">
      <w:pPr>
        <w:numPr>
          <w:ilvl w:val="0"/>
          <w:numId w:val="100"/>
        </w:numPr>
        <w:spacing w:line="312" w:lineRule="auto"/>
        <w:jc w:val="both"/>
        <w:rPr>
          <w:rFonts w:ascii="Verdana" w:hAnsi="Verdana"/>
          <w:sz w:val="20"/>
          <w:szCs w:val="20"/>
        </w:rPr>
      </w:pPr>
      <w:r w:rsidRPr="00BE536E">
        <w:rPr>
          <w:rFonts w:ascii="Verdana" w:hAnsi="Verdana"/>
          <w:sz w:val="20"/>
          <w:szCs w:val="20"/>
        </w:rPr>
        <w:t>иному сроку в случаях, определенных настоящей Методикой.</w:t>
      </w:r>
    </w:p>
    <w:p w14:paraId="1267D880" w14:textId="77777777" w:rsidR="00BA43DC" w:rsidRPr="00BE536E" w:rsidRDefault="00BA43DC" w:rsidP="00BA43DC">
      <w:pPr>
        <w:spacing w:after="0" w:line="312" w:lineRule="auto"/>
        <w:ind w:left="567" w:firstLine="2"/>
        <w:jc w:val="both"/>
        <w:rPr>
          <w:rFonts w:ascii="Verdana" w:hAnsi="Verdana"/>
          <w:i/>
          <w:sz w:val="20"/>
          <w:szCs w:val="20"/>
        </w:rPr>
      </w:pPr>
    </w:p>
    <w:p w14:paraId="34E95D33"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77A937EE"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При расчете Ставки КБД значение срок определяется в годах, округляется до 4 знаков после запятой. Исходные данные (за исключением указанных в примечании 29 настоящей Методики), определенные в днях, переводятся путем деления исходного значения на 365. Если в расчете используются данные, выраженные в месяцах, то результат определяется как:</w:t>
      </w:r>
    </w:p>
    <w:p w14:paraId="31D38D76"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1 месяц:</w:t>
      </w:r>
      <w:r w:rsidRPr="00BE536E">
        <w:rPr>
          <w:rFonts w:ascii="Verdana" w:hAnsi="Verdana"/>
          <w:sz w:val="20"/>
          <w:szCs w:val="20"/>
        </w:rPr>
        <w:tab/>
        <w:t>0.0833 года</w:t>
      </w:r>
    </w:p>
    <w:p w14:paraId="1BE6C634"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2 месяца:</w:t>
      </w:r>
      <w:r w:rsidRPr="00BE536E">
        <w:rPr>
          <w:rFonts w:ascii="Verdana" w:hAnsi="Verdana"/>
          <w:sz w:val="20"/>
          <w:szCs w:val="20"/>
        </w:rPr>
        <w:tab/>
        <w:t>0.1667 года</w:t>
      </w:r>
    </w:p>
    <w:p w14:paraId="7F4E86AA"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3 месяца:</w:t>
      </w:r>
      <w:r w:rsidRPr="00BE536E">
        <w:rPr>
          <w:rFonts w:ascii="Verdana" w:hAnsi="Verdana"/>
          <w:sz w:val="20"/>
          <w:szCs w:val="20"/>
        </w:rPr>
        <w:tab/>
        <w:t>0.2500 года</w:t>
      </w:r>
    </w:p>
    <w:p w14:paraId="0291166E"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4 месяца:</w:t>
      </w:r>
      <w:r w:rsidRPr="00BE536E">
        <w:rPr>
          <w:rFonts w:ascii="Verdana" w:hAnsi="Verdana"/>
          <w:sz w:val="20"/>
          <w:szCs w:val="20"/>
        </w:rPr>
        <w:tab/>
        <w:t>0.3333 года</w:t>
      </w:r>
    </w:p>
    <w:p w14:paraId="13163861"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5 месяцев:</w:t>
      </w:r>
      <w:r w:rsidRPr="00BE536E">
        <w:rPr>
          <w:rFonts w:ascii="Verdana" w:hAnsi="Verdana"/>
          <w:sz w:val="20"/>
          <w:szCs w:val="20"/>
        </w:rPr>
        <w:tab/>
        <w:t>0.4167 года</w:t>
      </w:r>
    </w:p>
    <w:p w14:paraId="567DA07B"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6 месяцев:</w:t>
      </w:r>
      <w:r w:rsidRPr="00BE536E">
        <w:rPr>
          <w:rFonts w:ascii="Verdana" w:hAnsi="Verdana"/>
          <w:sz w:val="20"/>
          <w:szCs w:val="20"/>
        </w:rPr>
        <w:tab/>
        <w:t>0.5000 года</w:t>
      </w:r>
    </w:p>
    <w:p w14:paraId="2C8264DA"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7 месяцев:</w:t>
      </w:r>
      <w:r w:rsidRPr="00BE536E">
        <w:rPr>
          <w:rFonts w:ascii="Verdana" w:hAnsi="Verdana"/>
          <w:sz w:val="20"/>
          <w:szCs w:val="20"/>
        </w:rPr>
        <w:tab/>
        <w:t>0.5833 года</w:t>
      </w:r>
    </w:p>
    <w:p w14:paraId="2163D4B1"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8 месяцев:</w:t>
      </w:r>
      <w:r w:rsidRPr="00BE536E">
        <w:rPr>
          <w:rFonts w:ascii="Verdana" w:hAnsi="Verdana"/>
          <w:sz w:val="20"/>
          <w:szCs w:val="20"/>
        </w:rPr>
        <w:tab/>
        <w:t>0.6667 года</w:t>
      </w:r>
    </w:p>
    <w:p w14:paraId="0DE34772"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9 месяцев:</w:t>
      </w:r>
      <w:r w:rsidRPr="00BE536E">
        <w:rPr>
          <w:rFonts w:ascii="Verdana" w:hAnsi="Verdana"/>
          <w:sz w:val="20"/>
          <w:szCs w:val="20"/>
        </w:rPr>
        <w:tab/>
        <w:t>0.7500 года</w:t>
      </w:r>
    </w:p>
    <w:p w14:paraId="63389C48"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10 месяцев:</w:t>
      </w:r>
      <w:r w:rsidRPr="00BE536E">
        <w:rPr>
          <w:rFonts w:ascii="Verdana" w:hAnsi="Verdana"/>
          <w:sz w:val="20"/>
          <w:szCs w:val="20"/>
        </w:rPr>
        <w:tab/>
        <w:t>0.8333 года</w:t>
      </w:r>
    </w:p>
    <w:p w14:paraId="0DD05505"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11 месяцев:</w:t>
      </w:r>
      <w:r w:rsidRPr="00BE536E">
        <w:rPr>
          <w:rFonts w:ascii="Verdana" w:hAnsi="Verdana"/>
          <w:sz w:val="20"/>
          <w:szCs w:val="20"/>
        </w:rPr>
        <w:tab/>
        <w:t>0.9167 года</w:t>
      </w:r>
    </w:p>
    <w:p w14:paraId="0C5A52A6"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12 месяцев:</w:t>
      </w:r>
      <w:r w:rsidRPr="00BE536E">
        <w:rPr>
          <w:rFonts w:ascii="Verdana" w:hAnsi="Verdana"/>
          <w:sz w:val="20"/>
          <w:szCs w:val="20"/>
        </w:rPr>
        <w:tab/>
        <w:t>1.0000 год.</w:t>
      </w:r>
    </w:p>
    <w:p w14:paraId="002155C4" w14:textId="77777777" w:rsidR="00BA43DC" w:rsidRPr="00BE536E" w:rsidRDefault="00BA43DC" w:rsidP="00BA43DC">
      <w:pPr>
        <w:spacing w:line="312" w:lineRule="auto"/>
        <w:ind w:left="1287"/>
        <w:jc w:val="both"/>
        <w:rPr>
          <w:rFonts w:ascii="Verdana" w:hAnsi="Verdana"/>
          <w:sz w:val="20"/>
          <w:szCs w:val="20"/>
        </w:rPr>
      </w:pPr>
    </w:p>
    <w:p w14:paraId="19E4012B"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В расчете используются:</w:t>
      </w:r>
    </w:p>
    <w:p w14:paraId="5B0D949B" w14:textId="77777777" w:rsidR="00BA43DC" w:rsidRPr="00BE536E" w:rsidRDefault="00BA43DC" w:rsidP="00D05311">
      <w:pPr>
        <w:numPr>
          <w:ilvl w:val="0"/>
          <w:numId w:val="102"/>
        </w:numPr>
        <w:tabs>
          <w:tab w:val="left" w:pos="709"/>
        </w:tabs>
        <w:spacing w:line="312" w:lineRule="auto"/>
        <w:jc w:val="both"/>
        <w:rPr>
          <w:rFonts w:ascii="Verdana" w:hAnsi="Verdana"/>
          <w:sz w:val="20"/>
          <w:szCs w:val="20"/>
        </w:rPr>
      </w:pPr>
      <w:r w:rsidRPr="00BE536E">
        <w:rPr>
          <w:rFonts w:ascii="Verdana" w:hAnsi="Verdana"/>
          <w:sz w:val="20"/>
          <w:szCs w:val="20"/>
        </w:rPr>
        <w:lastRenderedPageBreak/>
        <w:t>Методика расчёта кривой бескупонной доходности государственных облигаций, определенная Московской биржей</w:t>
      </w:r>
      <w:r w:rsidRPr="00BE536E">
        <w:rPr>
          <w:rStyle w:val="ab"/>
          <w:rFonts w:ascii="Verdana" w:hAnsi="Verdana"/>
        </w:rPr>
        <w:footnoteReference w:id="38"/>
      </w:r>
      <w:r w:rsidRPr="00BE536E">
        <w:rPr>
          <w:rFonts w:ascii="Verdana" w:hAnsi="Verdana"/>
          <w:sz w:val="20"/>
          <w:szCs w:val="20"/>
        </w:rPr>
        <w:t xml:space="preserve">; </w:t>
      </w:r>
    </w:p>
    <w:p w14:paraId="330AD92E" w14:textId="77777777" w:rsidR="00BA43DC" w:rsidRPr="00BE536E" w:rsidRDefault="00BA43DC" w:rsidP="00D05311">
      <w:pPr>
        <w:numPr>
          <w:ilvl w:val="0"/>
          <w:numId w:val="102"/>
        </w:numPr>
        <w:tabs>
          <w:tab w:val="left" w:pos="709"/>
        </w:tabs>
        <w:spacing w:line="312" w:lineRule="auto"/>
        <w:jc w:val="both"/>
        <w:rPr>
          <w:rFonts w:ascii="Verdana" w:hAnsi="Verdana"/>
          <w:sz w:val="20"/>
          <w:szCs w:val="20"/>
        </w:rPr>
      </w:pPr>
      <w:r w:rsidRPr="00BE536E">
        <w:rPr>
          <w:rFonts w:ascii="Verdana" w:hAnsi="Verdana"/>
          <w:sz w:val="20"/>
          <w:szCs w:val="20"/>
        </w:rPr>
        <w:t>динамические параметры G-кривой по состоянию на каждый торговый день.</w:t>
      </w:r>
    </w:p>
    <w:p w14:paraId="423A81B8" w14:textId="77777777" w:rsidR="00BA43DC" w:rsidRPr="00BE536E" w:rsidRDefault="00BA43DC" w:rsidP="00BA43DC">
      <w:pPr>
        <w:tabs>
          <w:tab w:val="left" w:pos="709"/>
        </w:tabs>
        <w:spacing w:line="312" w:lineRule="auto"/>
        <w:jc w:val="both"/>
        <w:rPr>
          <w:rFonts w:ascii="Verdana" w:hAnsi="Verdana"/>
          <w:sz w:val="20"/>
          <w:szCs w:val="20"/>
        </w:rPr>
      </w:pPr>
      <w:r w:rsidRPr="00BE536E">
        <w:rPr>
          <w:rFonts w:ascii="Verdana" w:hAnsi="Verdana"/>
          <w:sz w:val="20"/>
          <w:szCs w:val="20"/>
        </w:rPr>
        <w:tab/>
        <w:t>Источник информации: официальный сайт Московской биржи.</w:t>
      </w:r>
    </w:p>
    <w:p w14:paraId="598F38AC"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667E0D9A"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При расчете Ставки КБД промежуточные округления не производятся, результат выражается в процентах, округляется до 2 знаков после запятой.</w:t>
      </w:r>
    </w:p>
    <w:p w14:paraId="0CDCB519" w14:textId="77777777" w:rsidR="00BA43DC" w:rsidRPr="00BE536E" w:rsidRDefault="00BA43DC" w:rsidP="00BA43DC">
      <w:pPr>
        <w:spacing w:after="0" w:line="312" w:lineRule="auto"/>
        <w:ind w:left="1416"/>
        <w:jc w:val="both"/>
        <w:rPr>
          <w:rFonts w:ascii="Verdana" w:hAnsi="Verdana"/>
          <w:sz w:val="20"/>
          <w:szCs w:val="20"/>
        </w:rPr>
      </w:pPr>
    </w:p>
    <w:p w14:paraId="0A1C45FE" w14:textId="77777777" w:rsidR="00BA43DC" w:rsidRPr="00BE536E" w:rsidRDefault="00BA43DC" w:rsidP="00BA43DC">
      <w:pPr>
        <w:spacing w:after="0" w:line="312" w:lineRule="auto"/>
        <w:ind w:left="1416"/>
        <w:jc w:val="both"/>
        <w:rPr>
          <w:rFonts w:ascii="Verdana" w:hAnsi="Verdana"/>
          <w:sz w:val="20"/>
          <w:szCs w:val="20"/>
        </w:rPr>
      </w:pPr>
    </w:p>
    <w:p w14:paraId="79B5E6CE" w14:textId="77777777" w:rsidR="00BA43DC" w:rsidRPr="00BE536E" w:rsidRDefault="00BA43DC" w:rsidP="00BA43DC">
      <w:pPr>
        <w:spacing w:after="0" w:line="312" w:lineRule="auto"/>
        <w:ind w:firstLine="708"/>
        <w:jc w:val="both"/>
        <w:rPr>
          <w:rFonts w:ascii="Verdana" w:hAnsi="Verdana"/>
          <w:b/>
          <w:sz w:val="20"/>
          <w:szCs w:val="20"/>
        </w:rPr>
      </w:pPr>
      <w:r w:rsidRPr="00BE536E">
        <w:rPr>
          <w:rFonts w:ascii="Verdana" w:hAnsi="Verdana"/>
          <w:b/>
          <w:sz w:val="20"/>
          <w:szCs w:val="20"/>
        </w:rPr>
        <w:t>Прогнозные значения «длинных» ставок рынка капитала (для плавающих процентных ставок на срок предоставления денежных средств свыше 2 лет).</w:t>
      </w:r>
    </w:p>
    <w:p w14:paraId="52645C41"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К «длинным» ставкам рынка капитала относятся следующие плавающие процентные ставки, если они предусмотрены условиями выпуска оцениваемого инструмента:</w:t>
      </w:r>
    </w:p>
    <w:p w14:paraId="6F340759" w14:textId="77777777" w:rsidR="00BA43DC" w:rsidRPr="00BE536E" w:rsidRDefault="00BA43DC" w:rsidP="00D05311">
      <w:pPr>
        <w:numPr>
          <w:ilvl w:val="0"/>
          <w:numId w:val="103"/>
        </w:numPr>
        <w:spacing w:after="0" w:line="312" w:lineRule="auto"/>
        <w:jc w:val="both"/>
        <w:rPr>
          <w:rFonts w:ascii="Verdana" w:hAnsi="Verdana"/>
          <w:sz w:val="20"/>
          <w:szCs w:val="20"/>
        </w:rPr>
      </w:pPr>
      <w:r w:rsidRPr="00BE536E">
        <w:rPr>
          <w:rFonts w:ascii="Verdana" w:hAnsi="Verdana"/>
          <w:sz w:val="20"/>
          <w:szCs w:val="20"/>
        </w:rPr>
        <w:t>ставка КБД на срок свыше 2 лет;</w:t>
      </w:r>
    </w:p>
    <w:p w14:paraId="3A0AC417" w14:textId="77777777" w:rsidR="00BA43DC" w:rsidRPr="00BE536E" w:rsidRDefault="00BA43DC" w:rsidP="00D05311">
      <w:pPr>
        <w:numPr>
          <w:ilvl w:val="0"/>
          <w:numId w:val="103"/>
        </w:numPr>
        <w:spacing w:after="0" w:line="312" w:lineRule="auto"/>
        <w:jc w:val="both"/>
        <w:rPr>
          <w:rFonts w:ascii="Verdana" w:hAnsi="Verdana"/>
          <w:sz w:val="20"/>
          <w:szCs w:val="20"/>
        </w:rPr>
      </w:pPr>
      <w:r w:rsidRPr="00BE536E">
        <w:rPr>
          <w:rFonts w:ascii="Verdana" w:hAnsi="Verdana"/>
          <w:sz w:val="20"/>
          <w:szCs w:val="20"/>
        </w:rPr>
        <w:t>доходность к погашению выпуска ОФЗ.</w:t>
      </w:r>
    </w:p>
    <w:p w14:paraId="4A11696A" w14:textId="77777777" w:rsidR="00BA43DC" w:rsidRPr="00BE536E" w:rsidRDefault="00BA43DC" w:rsidP="00BA43DC">
      <w:pPr>
        <w:spacing w:after="0" w:line="312" w:lineRule="auto"/>
        <w:ind w:firstLine="707"/>
        <w:jc w:val="both"/>
        <w:rPr>
          <w:rFonts w:ascii="Verdana" w:hAnsi="Verdana"/>
          <w:sz w:val="20"/>
          <w:szCs w:val="20"/>
        </w:rPr>
      </w:pPr>
      <w:r w:rsidRPr="00BE536E">
        <w:rPr>
          <w:rFonts w:ascii="Verdana" w:hAnsi="Verdana"/>
          <w:sz w:val="20"/>
          <w:szCs w:val="20"/>
        </w:rPr>
        <w:t>Если в качестве переменного параметра используется плавающая процентная ставка сроком от 2-х лет,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BE536E">
        <w:rPr>
          <w:rFonts w:ascii="Verdana" w:hAnsi="Verdana"/>
          <w:sz w:val="20"/>
          <w:szCs w:val="20"/>
        </w:rPr>
        <w:t>)  принимается равным значению Ставки КБД в точке, соответствующей срочности такой плавающей процентной ставки (например, если значение ставки купона определяется как значение бескупонной доходности госбумаг на срок 5 лет, то Ставка КБД рассчитывается для срока в 5 лет).</w:t>
      </w:r>
    </w:p>
    <w:p w14:paraId="1905F727" w14:textId="77777777" w:rsidR="00BA43DC" w:rsidRPr="00BE536E" w:rsidRDefault="00BA43DC" w:rsidP="00BA43DC">
      <w:pPr>
        <w:spacing w:after="0" w:line="312" w:lineRule="auto"/>
        <w:ind w:left="707" w:firstLine="709"/>
        <w:jc w:val="both"/>
        <w:rPr>
          <w:rFonts w:ascii="Verdana" w:hAnsi="Verdana"/>
          <w:i/>
          <w:sz w:val="20"/>
          <w:szCs w:val="20"/>
        </w:rPr>
      </w:pPr>
    </w:p>
    <w:p w14:paraId="14E75F5F"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 xml:space="preserve">Примечание: </w:t>
      </w:r>
    </w:p>
    <w:p w14:paraId="0B428EF0"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Если в качестве переменного параметра используется плавающая процентная ставка заимствования на рынке капитала («длинная» ставка), то рыночный риск изменения процентной ставки по инструменту отсутствует (присутствует только риск изменения кредитного спреда) и возможно применение построения прогнозных денежных потоков и их дисконтирования исходя из текущих процентных ставок по инструментам.</w:t>
      </w:r>
    </w:p>
    <w:p w14:paraId="13725559" w14:textId="77777777" w:rsidR="00BA43DC" w:rsidRPr="00BE536E" w:rsidRDefault="00BA43DC" w:rsidP="00BA43DC">
      <w:pPr>
        <w:spacing w:after="0" w:line="312" w:lineRule="auto"/>
        <w:jc w:val="both"/>
        <w:rPr>
          <w:rFonts w:ascii="Verdana" w:hAnsi="Verdana"/>
          <w:b/>
          <w:sz w:val="20"/>
          <w:szCs w:val="20"/>
        </w:rPr>
      </w:pPr>
    </w:p>
    <w:p w14:paraId="2440E7BD" w14:textId="77777777" w:rsidR="00BA43DC" w:rsidRPr="00BE536E" w:rsidRDefault="00BA43DC" w:rsidP="00BA43DC">
      <w:pPr>
        <w:spacing w:after="0" w:line="312" w:lineRule="auto"/>
        <w:ind w:firstLine="567"/>
        <w:jc w:val="both"/>
        <w:rPr>
          <w:rFonts w:ascii="Verdana" w:hAnsi="Verdana"/>
          <w:b/>
          <w:sz w:val="20"/>
          <w:szCs w:val="20"/>
        </w:rPr>
      </w:pPr>
      <w:r w:rsidRPr="00BE536E">
        <w:rPr>
          <w:rFonts w:ascii="Verdana" w:hAnsi="Verdana"/>
          <w:b/>
          <w:sz w:val="20"/>
          <w:szCs w:val="20"/>
        </w:rPr>
        <w:t>Прогнозные значения прочих переменных параметров (помимо ставок денежного рынка).</w:t>
      </w:r>
    </w:p>
    <w:p w14:paraId="6906FE2C" w14:textId="77777777" w:rsidR="00BA43DC" w:rsidRPr="00BE536E" w:rsidRDefault="00BA43DC" w:rsidP="00BA43DC">
      <w:pPr>
        <w:spacing w:after="0" w:line="312" w:lineRule="auto"/>
        <w:ind w:firstLine="567"/>
        <w:jc w:val="both"/>
        <w:rPr>
          <w:rFonts w:ascii="Verdana" w:hAnsi="Verdana"/>
          <w:sz w:val="20"/>
          <w:szCs w:val="20"/>
        </w:rPr>
      </w:pPr>
      <w:r w:rsidRPr="00BE536E">
        <w:rPr>
          <w:rFonts w:ascii="Verdana" w:hAnsi="Verdana"/>
          <w:sz w:val="20"/>
          <w:szCs w:val="20"/>
        </w:rPr>
        <w:t xml:space="preserve">При отсутствии наблюдаемых данных о прогнозных значениях переменных параметров (например, рост ВВП) используется экспертный прогноз о будущих значениях переменного </w:t>
      </w:r>
      <w:r w:rsidRPr="00BE536E">
        <w:rPr>
          <w:rFonts w:ascii="Verdana" w:hAnsi="Verdana"/>
          <w:sz w:val="20"/>
          <w:szCs w:val="20"/>
        </w:rPr>
        <w:lastRenderedPageBreak/>
        <w:t xml:space="preserve">параметра (EIU, консенсус прогноз аналитиков Bloomberg, МЭР или другие доступные прогнозы). </w:t>
      </w:r>
    </w:p>
    <w:p w14:paraId="4C51C6E2" w14:textId="77777777" w:rsidR="00BA43DC" w:rsidRPr="00BE536E" w:rsidRDefault="00BA43DC" w:rsidP="00BA43DC">
      <w:pPr>
        <w:spacing w:after="0" w:line="312" w:lineRule="auto"/>
        <w:ind w:firstLine="567"/>
        <w:jc w:val="both"/>
        <w:rPr>
          <w:rFonts w:ascii="Verdana" w:hAnsi="Verdana"/>
          <w:sz w:val="20"/>
          <w:szCs w:val="20"/>
        </w:rPr>
      </w:pPr>
    </w:p>
    <w:p w14:paraId="7847B154" w14:textId="77777777" w:rsidR="00BA43DC" w:rsidRPr="00BE536E" w:rsidRDefault="00BA43DC" w:rsidP="00D05311">
      <w:pPr>
        <w:numPr>
          <w:ilvl w:val="1"/>
          <w:numId w:val="92"/>
        </w:numPr>
        <w:spacing w:after="0" w:line="312" w:lineRule="auto"/>
        <w:ind w:left="0" w:firstLine="0"/>
        <w:jc w:val="both"/>
        <w:rPr>
          <w:rFonts w:ascii="Verdana" w:hAnsi="Verdana"/>
          <w:b/>
          <w:sz w:val="20"/>
          <w:szCs w:val="20"/>
        </w:rPr>
      </w:pPr>
      <w:r w:rsidRPr="00BE536E">
        <w:rPr>
          <w:rFonts w:ascii="Verdana" w:hAnsi="Verdana"/>
          <w:b/>
          <w:sz w:val="20"/>
          <w:szCs w:val="20"/>
        </w:rPr>
        <w:t xml:space="preserve"> Определение ставки дисконтирования </w:t>
      </w:r>
    </w:p>
    <w:p w14:paraId="716ACC90"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Ставка дисконтирования будущих денежных потоков определяется для долговой ценной бумаги на каждую дату расчета справедливой стоимости.</w:t>
      </w:r>
    </w:p>
    <w:p w14:paraId="2936A3A1" w14:textId="77777777" w:rsidR="00BA43DC" w:rsidRPr="00BE536E" w:rsidRDefault="00BA43DC" w:rsidP="00BA43DC">
      <w:pPr>
        <w:spacing w:after="0" w:line="312" w:lineRule="auto"/>
        <w:ind w:firstLine="360"/>
        <w:jc w:val="both"/>
        <w:rPr>
          <w:rFonts w:ascii="Verdana" w:hAnsi="Verdana"/>
          <w:sz w:val="20"/>
          <w:szCs w:val="20"/>
        </w:rPr>
      </w:pPr>
      <w:r w:rsidRPr="00BE536E">
        <w:rPr>
          <w:rFonts w:ascii="Verdana" w:hAnsi="Verdana"/>
          <w:sz w:val="20"/>
          <w:szCs w:val="20"/>
        </w:rPr>
        <w:t>Ставка дисконтирования принимается равной Ставке КБД в точке, соответствующей средневзвешенному сроку до погашения / оферты ценной бумаги, увеличенной на соответствующее значение кредитного спреда.</w:t>
      </w:r>
    </w:p>
    <w:p w14:paraId="30301FF2" w14:textId="77777777" w:rsidR="00BA43DC" w:rsidRPr="00BE536E" w:rsidRDefault="00BA43DC" w:rsidP="00BA43DC">
      <w:pPr>
        <w:spacing w:after="0" w:line="312" w:lineRule="auto"/>
        <w:ind w:left="360"/>
        <w:jc w:val="both"/>
        <w:rPr>
          <w:rFonts w:ascii="Verdana" w:hAnsi="Verdana"/>
          <w:sz w:val="20"/>
          <w:szCs w:val="20"/>
        </w:rPr>
      </w:pPr>
      <w:r w:rsidRPr="00BE536E">
        <w:rPr>
          <w:rFonts w:ascii="Verdana" w:hAnsi="Verdana"/>
          <w:sz w:val="20"/>
          <w:szCs w:val="20"/>
        </w:rPr>
        <w:t>В расчете ставки дисконтирования могут быть использованы:</w:t>
      </w:r>
    </w:p>
    <w:p w14:paraId="41465331" w14:textId="77777777" w:rsidR="00BA43DC" w:rsidRPr="00BE536E" w:rsidRDefault="00BA43DC" w:rsidP="00D05311">
      <w:pPr>
        <w:numPr>
          <w:ilvl w:val="1"/>
          <w:numId w:val="104"/>
        </w:numPr>
        <w:spacing w:after="0" w:line="312" w:lineRule="auto"/>
        <w:jc w:val="both"/>
        <w:rPr>
          <w:rFonts w:ascii="Verdana" w:hAnsi="Verdana"/>
          <w:sz w:val="20"/>
          <w:szCs w:val="20"/>
        </w:rPr>
      </w:pPr>
      <w:r w:rsidRPr="00BE536E">
        <w:rPr>
          <w:rFonts w:ascii="Verdana" w:hAnsi="Verdana"/>
          <w:sz w:val="20"/>
          <w:szCs w:val="20"/>
        </w:rPr>
        <w:t>экспертное значение кредитного спреда</w:t>
      </w:r>
    </w:p>
    <w:p w14:paraId="41F25531" w14:textId="77777777" w:rsidR="00BA43DC" w:rsidRPr="00BE536E" w:rsidRDefault="00BA43DC" w:rsidP="00D05311">
      <w:pPr>
        <w:numPr>
          <w:ilvl w:val="1"/>
          <w:numId w:val="104"/>
        </w:numPr>
        <w:spacing w:after="0" w:line="312" w:lineRule="auto"/>
        <w:jc w:val="both"/>
        <w:rPr>
          <w:rFonts w:ascii="Verdana" w:hAnsi="Verdana"/>
          <w:sz w:val="20"/>
          <w:szCs w:val="20"/>
        </w:rPr>
      </w:pPr>
      <w:r w:rsidRPr="00BE536E">
        <w:rPr>
          <w:rFonts w:ascii="Verdana" w:hAnsi="Verdana"/>
          <w:sz w:val="20"/>
          <w:szCs w:val="20"/>
        </w:rPr>
        <w:t>медианное значение из диапазона кредитных спредов, определенное для рейтинговой группы долговой ценной бумаги в соответствии с Приложением В – если не задано экспертной значение кредитного спреда (за исключением долговых инструментов, отнесенных к IV рейтинговой группе, медианное значение кредитного спреда для которых определяется в особом порядке).</w:t>
      </w:r>
    </w:p>
    <w:p w14:paraId="08BB2334" w14:textId="77777777" w:rsidR="00BA43DC" w:rsidRPr="00BE536E" w:rsidRDefault="00BA43DC" w:rsidP="00D05311">
      <w:pPr>
        <w:numPr>
          <w:ilvl w:val="1"/>
          <w:numId w:val="104"/>
        </w:numPr>
        <w:spacing w:after="0" w:line="312" w:lineRule="auto"/>
        <w:jc w:val="both"/>
        <w:rPr>
          <w:rFonts w:ascii="Verdana" w:hAnsi="Verdana"/>
          <w:sz w:val="20"/>
          <w:szCs w:val="20"/>
        </w:rPr>
      </w:pPr>
      <w:r w:rsidRPr="00BE536E">
        <w:rPr>
          <w:rFonts w:ascii="Verdana" w:hAnsi="Verdana"/>
          <w:sz w:val="20"/>
          <w:szCs w:val="20"/>
        </w:rPr>
        <w:t>Для государственных ценных бумаг (только для федеральных ценных бумаг) медианное значение кредитного спреда принимается равным 0.</w:t>
      </w:r>
    </w:p>
    <w:p w14:paraId="0E4232AC" w14:textId="77777777" w:rsidR="00BA43DC" w:rsidRPr="00BE536E" w:rsidRDefault="00BA43DC" w:rsidP="00BA43DC">
      <w:pPr>
        <w:spacing w:after="0" w:line="312" w:lineRule="auto"/>
        <w:ind w:left="708" w:firstLine="372"/>
        <w:jc w:val="both"/>
        <w:rPr>
          <w:rFonts w:ascii="Verdana" w:hAnsi="Verdana"/>
          <w:sz w:val="20"/>
          <w:szCs w:val="20"/>
        </w:rPr>
      </w:pPr>
    </w:p>
    <w:p w14:paraId="1C9EAD7A"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0E71F59E"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Если значение кредитного спреда устанавливается исходя из наблюдаемых данных (в том числе на основе кредитного спреда по аналогичным выпускам данного эмитента, медианного значения спреда рейтинговой группы, скорректированного на премию/дисконт за особые условия на основе наблюдаемых данных), расчетная цена ценной бумаги может быть классифицирована в уровень 2. В остальных случаях расчетная цена ценной бумаги классифицируется в уровень 3.</w:t>
      </w:r>
    </w:p>
    <w:p w14:paraId="44E86F23" w14:textId="77777777" w:rsidR="00BA43DC" w:rsidRPr="00BE536E" w:rsidRDefault="00BA43DC" w:rsidP="00BA43DC">
      <w:pPr>
        <w:spacing w:after="0" w:line="312" w:lineRule="auto"/>
        <w:ind w:left="567"/>
        <w:jc w:val="both"/>
        <w:rPr>
          <w:rFonts w:ascii="Verdana" w:hAnsi="Verdana"/>
          <w:sz w:val="20"/>
          <w:szCs w:val="20"/>
        </w:rPr>
      </w:pPr>
    </w:p>
    <w:p w14:paraId="23FC6928" w14:textId="77777777" w:rsidR="00BA43DC" w:rsidRPr="00BE536E" w:rsidRDefault="00BA43DC" w:rsidP="00BA43DC">
      <w:pPr>
        <w:spacing w:after="0" w:line="312" w:lineRule="auto"/>
        <w:jc w:val="both"/>
        <w:rPr>
          <w:rFonts w:ascii="Verdana" w:hAnsi="Verdana"/>
          <w:sz w:val="20"/>
          <w:szCs w:val="20"/>
        </w:rPr>
      </w:pPr>
    </w:p>
    <w:p w14:paraId="255AFC66" w14:textId="77777777" w:rsidR="00BA43DC" w:rsidRPr="00BE536E" w:rsidRDefault="00BA43DC" w:rsidP="00BA43DC">
      <w:pPr>
        <w:jc w:val="center"/>
        <w:rPr>
          <w:rFonts w:ascii="Verdana" w:hAnsi="Verdana"/>
          <w:sz w:val="20"/>
          <w:szCs w:val="20"/>
        </w:rPr>
      </w:pPr>
      <w:bookmarkStart w:id="36" w:name="_Toc27398199"/>
      <w:r w:rsidRPr="00BE536E">
        <w:rPr>
          <w:rFonts w:ascii="Verdana" w:hAnsi="Verdana"/>
          <w:b/>
          <w:sz w:val="20"/>
          <w:szCs w:val="20"/>
        </w:rPr>
        <w:t>ПРИЛОЖЕНИЕ №В.</w:t>
      </w:r>
      <w:bookmarkEnd w:id="36"/>
    </w:p>
    <w:p w14:paraId="2E9198DE" w14:textId="77777777" w:rsidR="00BA43DC" w:rsidRPr="00BE536E" w:rsidRDefault="00BA43DC" w:rsidP="00BA43DC">
      <w:pPr>
        <w:jc w:val="center"/>
        <w:rPr>
          <w:rFonts w:ascii="Verdana" w:hAnsi="Verdana"/>
          <w:b/>
          <w:sz w:val="20"/>
          <w:szCs w:val="20"/>
        </w:rPr>
      </w:pPr>
      <w:r w:rsidRPr="00BE536E">
        <w:rPr>
          <w:rFonts w:ascii="Verdana" w:hAnsi="Verdana"/>
          <w:b/>
          <w:sz w:val="20"/>
          <w:szCs w:val="20"/>
        </w:rPr>
        <w:t>РЕГЛАМЕНТ РАСЧЕТА КРЕДИТНОГО СПРЕДА ДЛЯ ДОЛГОВЫХ ИНСТРУМЕНТОВ</w:t>
      </w:r>
    </w:p>
    <w:p w14:paraId="22A23EE3"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В соответствии с настоящим регламентом кредитный спред рассчитывается для (далее именуется долговой инструмент):</w:t>
      </w:r>
    </w:p>
    <w:p w14:paraId="455353D2" w14:textId="77777777" w:rsidR="00BA43DC" w:rsidRPr="00BE536E" w:rsidRDefault="00BA43DC" w:rsidP="00D05311">
      <w:pPr>
        <w:numPr>
          <w:ilvl w:val="0"/>
          <w:numId w:val="105"/>
        </w:numPr>
        <w:spacing w:after="0" w:line="312" w:lineRule="auto"/>
        <w:ind w:left="1134" w:hanging="425"/>
        <w:jc w:val="both"/>
        <w:rPr>
          <w:rFonts w:ascii="Verdana" w:hAnsi="Verdana"/>
          <w:sz w:val="20"/>
          <w:szCs w:val="20"/>
        </w:rPr>
      </w:pPr>
      <w:r w:rsidRPr="00BE536E">
        <w:rPr>
          <w:rFonts w:ascii="Verdana" w:hAnsi="Verdana"/>
          <w:sz w:val="20"/>
          <w:szCs w:val="20"/>
        </w:rPr>
        <w:t>долговой ценной бумаги, номинированной в рублях (за исключением государственных ценных бумаг РФ);</w:t>
      </w:r>
    </w:p>
    <w:p w14:paraId="28C37276"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Для целей расчета кредитного спреда осуществляется следующая последовательность действий в отношении долговой ценной бумаги:</w:t>
      </w:r>
    </w:p>
    <w:p w14:paraId="6D0AE42B" w14:textId="77777777" w:rsidR="00BA43DC" w:rsidRPr="00BE536E" w:rsidRDefault="00BA43DC" w:rsidP="00D05311">
      <w:pPr>
        <w:numPr>
          <w:ilvl w:val="0"/>
          <w:numId w:val="105"/>
        </w:numPr>
        <w:spacing w:after="0" w:line="312" w:lineRule="auto"/>
        <w:ind w:left="1134" w:hanging="425"/>
        <w:jc w:val="both"/>
        <w:rPr>
          <w:rFonts w:ascii="Verdana" w:hAnsi="Verdana"/>
          <w:sz w:val="20"/>
          <w:szCs w:val="20"/>
        </w:rPr>
      </w:pPr>
      <w:r w:rsidRPr="00BE536E">
        <w:rPr>
          <w:rFonts w:ascii="Verdana" w:hAnsi="Verdana"/>
          <w:sz w:val="20"/>
          <w:szCs w:val="20"/>
        </w:rPr>
        <w:lastRenderedPageBreak/>
        <w:t>в зависимости от наличия или отсутствия кредитного рейтинга у выпуска</w:t>
      </w:r>
      <w:r w:rsidRPr="00BE536E">
        <w:rPr>
          <w:rStyle w:val="ab"/>
          <w:rFonts w:ascii="Verdana" w:hAnsi="Verdana"/>
        </w:rPr>
        <w:footnoteReference w:id="39"/>
      </w:r>
      <w:r w:rsidRPr="00BE536E">
        <w:rPr>
          <w:rFonts w:ascii="Verdana" w:hAnsi="Verdana"/>
          <w:sz w:val="20"/>
          <w:szCs w:val="20"/>
        </w:rPr>
        <w:t xml:space="preserve"> (а в его отсутствии у эмитента или поручителя) долговой ценной бумаги, определяется принадлежность ценной бумаги к одной из четырех рейтинговых групп, предусмотренных данным Регламентом;</w:t>
      </w:r>
    </w:p>
    <w:p w14:paraId="55E03484" w14:textId="77777777" w:rsidR="00BA43DC" w:rsidRPr="00BE536E" w:rsidRDefault="00BA43DC" w:rsidP="00D05311">
      <w:pPr>
        <w:numPr>
          <w:ilvl w:val="0"/>
          <w:numId w:val="105"/>
        </w:numPr>
        <w:spacing w:after="0" w:line="312" w:lineRule="auto"/>
        <w:jc w:val="both"/>
        <w:rPr>
          <w:rFonts w:ascii="Verdana" w:hAnsi="Verdana"/>
          <w:sz w:val="20"/>
          <w:szCs w:val="20"/>
        </w:rPr>
      </w:pPr>
      <w:r w:rsidRPr="00BE536E">
        <w:rPr>
          <w:rFonts w:ascii="Verdana" w:hAnsi="Verdana"/>
          <w:sz w:val="20"/>
          <w:szCs w:val="20"/>
        </w:rPr>
        <w:t>минимальное, максимальное и медианное значения кредитных спредов для долговой ценной бумаги принимаются равными соответствующим значениям кредитных спредов, рассчитанным для рейтинговой группы, к которой отнесена ценная бумага (за исключением ценных бумаг, отнесенных к IV рейтинговой группе, для которых кредитный спред определяется в особом порядке, предусмотренном настоящим Регламентом).</w:t>
      </w:r>
    </w:p>
    <w:p w14:paraId="154B7F34"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субординированных долговых инструментов (облигаций кредитных организаций в случае отсутствия рейтинга выпуска или депозитов) устанавливается дополнительная премия за субординированность, на которую увеличиваются расчетные величины минимального, максимального и медианного значений кредитных спредов в случаях, предусмотренных настоящим Приложением. Премия за субординированность определяется с учетом доступной рыночной информации о спредах за субординированность сопоставимых выпусков или эмитентов.</w:t>
      </w:r>
    </w:p>
    <w:p w14:paraId="0C5B99CD" w14:textId="77777777" w:rsidR="00BA43DC" w:rsidRPr="00BE536E" w:rsidRDefault="00BA43DC" w:rsidP="00BA43DC">
      <w:pPr>
        <w:spacing w:after="0" w:line="312" w:lineRule="auto"/>
        <w:ind w:firstLine="708"/>
        <w:jc w:val="both"/>
        <w:rPr>
          <w:rFonts w:ascii="Verdana" w:hAnsi="Verdana"/>
          <w:sz w:val="20"/>
          <w:szCs w:val="20"/>
        </w:rPr>
      </w:pPr>
    </w:p>
    <w:p w14:paraId="312811E2" w14:textId="77777777" w:rsidR="00BA43DC" w:rsidRPr="00BE536E" w:rsidRDefault="00BA43DC" w:rsidP="00D05311">
      <w:pPr>
        <w:numPr>
          <w:ilvl w:val="0"/>
          <w:numId w:val="106"/>
        </w:numPr>
        <w:spacing w:after="0" w:line="312" w:lineRule="auto"/>
        <w:jc w:val="both"/>
        <w:rPr>
          <w:rFonts w:ascii="Verdana" w:hAnsi="Verdana"/>
          <w:b/>
          <w:sz w:val="20"/>
          <w:szCs w:val="20"/>
        </w:rPr>
      </w:pPr>
      <w:r w:rsidRPr="00BE536E">
        <w:rPr>
          <w:rFonts w:ascii="Verdana" w:hAnsi="Verdana"/>
          <w:b/>
          <w:sz w:val="20"/>
          <w:szCs w:val="20"/>
        </w:rPr>
        <w:t>Рейтинговые группы</w:t>
      </w:r>
    </w:p>
    <w:p w14:paraId="6942DEB8"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целей определения кредитного спреда вводятся следующие рейтинговые группы:</w:t>
      </w:r>
    </w:p>
    <w:p w14:paraId="45672DF5"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Рейтинговая группа I</w:t>
      </w:r>
      <w:r w:rsidRPr="00BE536E">
        <w:rPr>
          <w:rFonts w:ascii="Verdana" w:hAnsi="Verdana"/>
          <w:sz w:val="20"/>
          <w:szCs w:val="20"/>
        </w:rPr>
        <w:t xml:space="preserve"> – наивысший уровень кредитоспособности и степень надежности по сравнению с другими эмитентами, выпусками ценных бумаг или финансовыми обязательствами. В указанную рейтинговую группу включаются долговые инструменты с рейтингом от ВВВ- (по шкале S&amp;P).</w:t>
      </w:r>
    </w:p>
    <w:p w14:paraId="225AE62C"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Рейтинговая группа II</w:t>
      </w:r>
      <w:r w:rsidRPr="00BE536E">
        <w:rPr>
          <w:rFonts w:ascii="Verdana" w:hAnsi="Verdana"/>
          <w:sz w:val="20"/>
          <w:szCs w:val="20"/>
        </w:rPr>
        <w:t xml:space="preserve"> – высокий уровень кредитоспособности, при этом присутствует некоторая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ВB- до ВB+ (по шкале S&amp;P).</w:t>
      </w:r>
    </w:p>
    <w:p w14:paraId="143CFB7B"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 xml:space="preserve">Рейтинговая группа </w:t>
      </w:r>
      <w:r w:rsidRPr="00BE536E">
        <w:rPr>
          <w:rFonts w:ascii="Verdana" w:hAnsi="Verdana"/>
          <w:b/>
          <w:sz w:val="20"/>
          <w:szCs w:val="20"/>
          <w:lang w:val="en-US"/>
        </w:rPr>
        <w:t>III</w:t>
      </w:r>
      <w:r w:rsidRPr="00BE536E">
        <w:rPr>
          <w:rFonts w:ascii="Verdana" w:hAnsi="Verdana"/>
          <w:sz w:val="20"/>
          <w:szCs w:val="20"/>
        </w:rPr>
        <w:t xml:space="preserve"> – умеренный уровень кредитоспособности, при этом присутствует высокая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w:t>
      </w:r>
      <w:r w:rsidRPr="00BE536E">
        <w:rPr>
          <w:rFonts w:ascii="Verdana" w:hAnsi="Verdana"/>
          <w:sz w:val="20"/>
          <w:szCs w:val="20"/>
          <w:lang w:val="en-US"/>
        </w:rPr>
        <w:t>B</w:t>
      </w:r>
      <w:r w:rsidRPr="00BE536E">
        <w:rPr>
          <w:rFonts w:ascii="Verdana" w:hAnsi="Verdana"/>
          <w:sz w:val="20"/>
          <w:szCs w:val="20"/>
        </w:rPr>
        <w:t xml:space="preserve">- до </w:t>
      </w:r>
      <w:r w:rsidRPr="00BE536E">
        <w:rPr>
          <w:rFonts w:ascii="Verdana" w:hAnsi="Verdana"/>
          <w:sz w:val="20"/>
          <w:szCs w:val="20"/>
          <w:lang w:val="en-US"/>
        </w:rPr>
        <w:t>B</w:t>
      </w:r>
      <w:r w:rsidRPr="00BE536E">
        <w:rPr>
          <w:rFonts w:ascii="Verdana" w:hAnsi="Verdana"/>
          <w:sz w:val="20"/>
          <w:szCs w:val="20"/>
        </w:rPr>
        <w:t xml:space="preserve">+ (по шкале </w:t>
      </w:r>
      <w:r w:rsidRPr="00BE536E">
        <w:rPr>
          <w:rFonts w:ascii="Verdana" w:hAnsi="Verdana"/>
          <w:sz w:val="20"/>
          <w:szCs w:val="20"/>
          <w:lang w:val="en-US"/>
        </w:rPr>
        <w:t>S</w:t>
      </w:r>
      <w:r w:rsidRPr="00BE536E">
        <w:rPr>
          <w:rFonts w:ascii="Verdana" w:hAnsi="Verdana"/>
          <w:sz w:val="20"/>
          <w:szCs w:val="20"/>
        </w:rPr>
        <w:t>&amp;</w:t>
      </w:r>
      <w:r w:rsidRPr="00BE536E">
        <w:rPr>
          <w:rFonts w:ascii="Verdana" w:hAnsi="Verdana"/>
          <w:sz w:val="20"/>
          <w:szCs w:val="20"/>
          <w:lang w:val="en-US"/>
        </w:rPr>
        <w:t>P</w:t>
      </w:r>
      <w:r w:rsidRPr="00BE536E">
        <w:rPr>
          <w:rFonts w:ascii="Verdana" w:hAnsi="Verdana"/>
          <w:sz w:val="20"/>
          <w:szCs w:val="20"/>
        </w:rPr>
        <w:t>).</w:t>
      </w:r>
    </w:p>
    <w:p w14:paraId="02885AD4"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Рейтинговая группа I</w:t>
      </w:r>
      <w:r w:rsidRPr="00BE536E">
        <w:rPr>
          <w:rFonts w:ascii="Verdana" w:hAnsi="Verdana"/>
          <w:b/>
          <w:sz w:val="20"/>
          <w:szCs w:val="20"/>
          <w:lang w:val="en-US"/>
        </w:rPr>
        <w:t>V</w:t>
      </w:r>
      <w:r w:rsidRPr="00BE536E">
        <w:rPr>
          <w:rFonts w:ascii="Verdana" w:hAnsi="Verdana"/>
          <w:b/>
          <w:sz w:val="20"/>
          <w:szCs w:val="20"/>
        </w:rPr>
        <w:t>.</w:t>
      </w:r>
      <w:r w:rsidRPr="00BE536E">
        <w:rPr>
          <w:rFonts w:ascii="Verdana" w:hAnsi="Verdana"/>
          <w:sz w:val="20"/>
          <w:szCs w:val="20"/>
        </w:rPr>
        <w:t xml:space="preserve"> В указанную рейтинговую группу включаются долговые инструменты:</w:t>
      </w:r>
    </w:p>
    <w:p w14:paraId="441132E2" w14:textId="77777777" w:rsidR="00BA43DC" w:rsidRPr="00BE536E" w:rsidRDefault="00BA43DC" w:rsidP="00D05311">
      <w:pPr>
        <w:numPr>
          <w:ilvl w:val="0"/>
          <w:numId w:val="107"/>
        </w:numPr>
        <w:spacing w:after="0" w:line="312" w:lineRule="auto"/>
        <w:ind w:left="1134" w:hanging="425"/>
        <w:jc w:val="both"/>
        <w:rPr>
          <w:rFonts w:ascii="Verdana" w:hAnsi="Verdana"/>
          <w:sz w:val="20"/>
          <w:szCs w:val="20"/>
        </w:rPr>
      </w:pPr>
      <w:r w:rsidRPr="00BE536E">
        <w:rPr>
          <w:rFonts w:ascii="Verdana" w:hAnsi="Verdana"/>
          <w:sz w:val="20"/>
          <w:szCs w:val="20"/>
        </w:rPr>
        <w:t>без рейтинга, присвоенного рейтинговыми агентствами, указанными в Таблице 1, или</w:t>
      </w:r>
    </w:p>
    <w:p w14:paraId="62D9E6F6" w14:textId="77777777" w:rsidR="00BA43DC" w:rsidRPr="00BE536E" w:rsidRDefault="00BA43DC" w:rsidP="00D05311">
      <w:pPr>
        <w:numPr>
          <w:ilvl w:val="0"/>
          <w:numId w:val="107"/>
        </w:numPr>
        <w:spacing w:after="0" w:line="312" w:lineRule="auto"/>
        <w:ind w:left="1134" w:hanging="425"/>
        <w:jc w:val="both"/>
        <w:rPr>
          <w:rFonts w:ascii="Verdana" w:hAnsi="Verdana"/>
          <w:sz w:val="20"/>
          <w:szCs w:val="20"/>
        </w:rPr>
      </w:pPr>
      <w:r w:rsidRPr="00BE536E">
        <w:rPr>
          <w:rFonts w:ascii="Verdana" w:hAnsi="Verdana"/>
          <w:sz w:val="20"/>
          <w:szCs w:val="20"/>
        </w:rPr>
        <w:lastRenderedPageBreak/>
        <w:t>с рейтингом ниже B- (по шкале S&amp;P), присвоенным рейтинговым агентством, указанным в Таблице 1.</w:t>
      </w:r>
    </w:p>
    <w:p w14:paraId="5C7E5A8F"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Рейтинговые группы могут быть пересмотрены при выполнении одного из следующих условий:</w:t>
      </w:r>
    </w:p>
    <w:p w14:paraId="76650F11" w14:textId="77777777" w:rsidR="00BA43DC" w:rsidRPr="00BE536E" w:rsidRDefault="00BA43DC" w:rsidP="00D05311">
      <w:pPr>
        <w:numPr>
          <w:ilvl w:val="0"/>
          <w:numId w:val="108"/>
        </w:numPr>
        <w:spacing w:after="0" w:line="312" w:lineRule="auto"/>
        <w:jc w:val="both"/>
        <w:rPr>
          <w:rFonts w:ascii="Verdana" w:hAnsi="Verdana"/>
          <w:sz w:val="20"/>
          <w:szCs w:val="20"/>
        </w:rPr>
      </w:pPr>
      <w:r w:rsidRPr="00BE536E">
        <w:rPr>
          <w:rFonts w:ascii="Verdana" w:hAnsi="Verdana"/>
          <w:sz w:val="20"/>
          <w:szCs w:val="20"/>
        </w:rPr>
        <w:t>внесение изменений в методику расчета и состав индексов Московской биржи;</w:t>
      </w:r>
    </w:p>
    <w:p w14:paraId="1DFFE754" w14:textId="77777777" w:rsidR="00BA43DC" w:rsidRPr="00BE536E" w:rsidRDefault="00BA43DC" w:rsidP="00D05311">
      <w:pPr>
        <w:numPr>
          <w:ilvl w:val="0"/>
          <w:numId w:val="108"/>
        </w:numPr>
        <w:spacing w:after="0" w:line="312" w:lineRule="auto"/>
        <w:jc w:val="both"/>
        <w:rPr>
          <w:rFonts w:ascii="Verdana" w:hAnsi="Verdana"/>
          <w:sz w:val="20"/>
          <w:szCs w:val="20"/>
        </w:rPr>
      </w:pPr>
      <w:r w:rsidRPr="00BE536E">
        <w:rPr>
          <w:rFonts w:ascii="Verdana" w:hAnsi="Verdana"/>
          <w:sz w:val="20"/>
          <w:szCs w:val="20"/>
        </w:rPr>
        <w:t>изменение суверенного рейтинга РФ агентствами S&amp;P, Moody’s, Fitch;</w:t>
      </w:r>
    </w:p>
    <w:p w14:paraId="7D5A4792" w14:textId="77777777" w:rsidR="00BA43DC" w:rsidRPr="00BE536E" w:rsidRDefault="00BA43DC" w:rsidP="00D05311">
      <w:pPr>
        <w:numPr>
          <w:ilvl w:val="0"/>
          <w:numId w:val="108"/>
        </w:numPr>
        <w:spacing w:after="0" w:line="312" w:lineRule="auto"/>
        <w:jc w:val="both"/>
        <w:rPr>
          <w:rFonts w:ascii="Verdana" w:hAnsi="Verdana"/>
          <w:sz w:val="20"/>
          <w:szCs w:val="20"/>
        </w:rPr>
      </w:pPr>
      <w:r w:rsidRPr="00BE536E">
        <w:rPr>
          <w:rFonts w:ascii="Verdana" w:hAnsi="Verdana"/>
          <w:sz w:val="20"/>
          <w:szCs w:val="20"/>
        </w:rPr>
        <w:t>прочие изменения на рынке, признанные существенными для целей определения рейтинговых групп.</w:t>
      </w:r>
    </w:p>
    <w:p w14:paraId="0B78A5E0"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Проверка условий для пересмотра рейтинговых групп проводится ежеквартально.</w:t>
      </w:r>
    </w:p>
    <w:p w14:paraId="2E804357" w14:textId="77777777" w:rsidR="00BA43DC" w:rsidRPr="00BE536E" w:rsidRDefault="00BA43DC" w:rsidP="00BA43DC">
      <w:pPr>
        <w:spacing w:line="312" w:lineRule="auto"/>
        <w:contextualSpacing/>
        <w:jc w:val="both"/>
        <w:rPr>
          <w:rFonts w:ascii="Verdana" w:hAnsi="Verdana"/>
          <w:sz w:val="20"/>
          <w:szCs w:val="20"/>
        </w:rPr>
      </w:pPr>
    </w:p>
    <w:p w14:paraId="09A42698" w14:textId="77777777" w:rsidR="00BA43DC" w:rsidRPr="00BE536E" w:rsidRDefault="00BA43DC" w:rsidP="00BA43DC">
      <w:pPr>
        <w:spacing w:line="312" w:lineRule="auto"/>
        <w:contextualSpacing/>
        <w:jc w:val="both"/>
        <w:rPr>
          <w:rFonts w:ascii="Verdana" w:hAnsi="Verdana"/>
          <w:sz w:val="20"/>
          <w:szCs w:val="20"/>
        </w:rPr>
      </w:pPr>
    </w:p>
    <w:p w14:paraId="79693B5B" w14:textId="77777777" w:rsidR="00BA43DC" w:rsidRPr="00BE536E" w:rsidRDefault="00BA43DC" w:rsidP="00BA43DC">
      <w:pPr>
        <w:spacing w:line="312" w:lineRule="auto"/>
        <w:contextualSpacing/>
        <w:jc w:val="both"/>
        <w:rPr>
          <w:rFonts w:ascii="Verdana" w:hAnsi="Verdana"/>
          <w:sz w:val="20"/>
          <w:szCs w:val="20"/>
        </w:rPr>
      </w:pPr>
    </w:p>
    <w:p w14:paraId="5516FD5B" w14:textId="77777777" w:rsidR="00BA43DC" w:rsidRPr="00BE536E" w:rsidRDefault="00BA43DC" w:rsidP="00D05311">
      <w:pPr>
        <w:numPr>
          <w:ilvl w:val="0"/>
          <w:numId w:val="106"/>
        </w:numPr>
        <w:spacing w:after="0" w:line="312" w:lineRule="auto"/>
        <w:jc w:val="both"/>
        <w:rPr>
          <w:rFonts w:ascii="Verdana" w:hAnsi="Verdana"/>
          <w:b/>
          <w:sz w:val="20"/>
          <w:szCs w:val="20"/>
        </w:rPr>
      </w:pPr>
      <w:r w:rsidRPr="00BE536E">
        <w:rPr>
          <w:rFonts w:ascii="Verdana" w:hAnsi="Verdana"/>
          <w:b/>
          <w:sz w:val="20"/>
          <w:szCs w:val="20"/>
        </w:rPr>
        <w:t>Порядок определения принадлежности долгового инструмента к рейтинговой группе</w:t>
      </w:r>
    </w:p>
    <w:p w14:paraId="6E026A17"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Определение принадлежности долгового инструмента к рейтинговой группе выполняется на основании данных ведущих рейтинговых агентств в соответствии с Таблицей 1.</w:t>
      </w:r>
    </w:p>
    <w:p w14:paraId="6DACF2FB" w14:textId="77777777" w:rsidR="00BA43DC" w:rsidRPr="00BE536E" w:rsidRDefault="00BA43DC" w:rsidP="00BA43DC">
      <w:pPr>
        <w:spacing w:line="312" w:lineRule="auto"/>
        <w:contextualSpacing/>
        <w:jc w:val="both"/>
        <w:rPr>
          <w:rFonts w:ascii="Verdana" w:hAnsi="Verdana"/>
          <w:b/>
          <w:sz w:val="20"/>
          <w:szCs w:val="20"/>
        </w:rPr>
      </w:pPr>
    </w:p>
    <w:p w14:paraId="1EF2867D" w14:textId="77777777" w:rsidR="00BA43DC" w:rsidRPr="00BE536E" w:rsidRDefault="00BA43DC" w:rsidP="00BA43DC">
      <w:pPr>
        <w:spacing w:after="0" w:line="312" w:lineRule="auto"/>
        <w:jc w:val="both"/>
        <w:rPr>
          <w:rFonts w:ascii="Verdana" w:hAnsi="Verdana"/>
          <w:b/>
          <w:bCs/>
          <w:sz w:val="20"/>
          <w:szCs w:val="20"/>
        </w:rPr>
      </w:pPr>
      <w:r w:rsidRPr="00BE536E">
        <w:rPr>
          <w:rFonts w:ascii="Verdana" w:hAnsi="Verdana"/>
          <w:b/>
          <w:sz w:val="20"/>
          <w:szCs w:val="20"/>
        </w:rPr>
        <w:t xml:space="preserve">Таблица 1. </w:t>
      </w:r>
      <w:r w:rsidRPr="00BE536E">
        <w:rPr>
          <w:rFonts w:ascii="Verdana" w:hAnsi="Verdana"/>
          <w:b/>
          <w:bCs/>
          <w:sz w:val="20"/>
          <w:szCs w:val="20"/>
        </w:rPr>
        <w:t>Сопоставление шкал рейтинговых агентств</w:t>
      </w:r>
    </w:p>
    <w:tbl>
      <w:tblPr>
        <w:tblW w:w="5000" w:type="pct"/>
        <w:jc w:val="center"/>
        <w:tblLook w:val="04A0" w:firstRow="1" w:lastRow="0" w:firstColumn="1" w:lastColumn="0" w:noHBand="0" w:noVBand="1"/>
      </w:tblPr>
      <w:tblGrid>
        <w:gridCol w:w="1076"/>
        <w:gridCol w:w="979"/>
        <w:gridCol w:w="1781"/>
        <w:gridCol w:w="1781"/>
        <w:gridCol w:w="1781"/>
        <w:gridCol w:w="2412"/>
      </w:tblGrid>
      <w:tr w:rsidR="00BA43DC" w:rsidRPr="00BE536E" w14:paraId="300834B3" w14:textId="77777777" w:rsidTr="00BA43DC">
        <w:trPr>
          <w:trHeight w:val="345"/>
          <w:tblHeader/>
          <w:jc w:val="center"/>
        </w:trPr>
        <w:tc>
          <w:tcPr>
            <w:tcW w:w="723" w:type="pct"/>
            <w:vMerge w:val="restart"/>
            <w:tcBorders>
              <w:top w:val="single" w:sz="8" w:space="0" w:color="auto"/>
              <w:left w:val="single" w:sz="8" w:space="0" w:color="auto"/>
              <w:bottom w:val="single" w:sz="8" w:space="0" w:color="000000"/>
              <w:right w:val="single" w:sz="8" w:space="0" w:color="auto"/>
            </w:tcBorders>
            <w:vAlign w:val="center"/>
            <w:hideMark/>
          </w:tcPr>
          <w:p w14:paraId="591E3443"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АКРА</w:t>
            </w:r>
          </w:p>
        </w:tc>
        <w:tc>
          <w:tcPr>
            <w:tcW w:w="592" w:type="pct"/>
            <w:vMerge w:val="restart"/>
            <w:tcBorders>
              <w:top w:val="single" w:sz="8" w:space="0" w:color="auto"/>
              <w:left w:val="single" w:sz="8" w:space="0" w:color="auto"/>
              <w:bottom w:val="single" w:sz="8" w:space="0" w:color="000000"/>
              <w:right w:val="single" w:sz="8" w:space="0" w:color="auto"/>
            </w:tcBorders>
            <w:vAlign w:val="center"/>
            <w:hideMark/>
          </w:tcPr>
          <w:p w14:paraId="76C7D9C9"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Эксперт РА</w:t>
            </w:r>
          </w:p>
        </w:tc>
        <w:tc>
          <w:tcPr>
            <w:tcW w:w="963" w:type="pct"/>
            <w:tcBorders>
              <w:top w:val="single" w:sz="8" w:space="0" w:color="auto"/>
              <w:left w:val="nil"/>
              <w:bottom w:val="single" w:sz="8" w:space="0" w:color="auto"/>
              <w:right w:val="single" w:sz="8" w:space="0" w:color="auto"/>
            </w:tcBorders>
            <w:noWrap/>
            <w:vAlign w:val="center"/>
            <w:hideMark/>
          </w:tcPr>
          <w:p w14:paraId="6BFADFFD"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Moody`s</w:t>
            </w:r>
          </w:p>
        </w:tc>
        <w:tc>
          <w:tcPr>
            <w:tcW w:w="963" w:type="pct"/>
            <w:tcBorders>
              <w:top w:val="single" w:sz="8" w:space="0" w:color="auto"/>
              <w:left w:val="nil"/>
              <w:bottom w:val="single" w:sz="8" w:space="0" w:color="auto"/>
              <w:right w:val="nil"/>
            </w:tcBorders>
            <w:vAlign w:val="center"/>
            <w:hideMark/>
          </w:tcPr>
          <w:p w14:paraId="126FE360"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S&amp;P</w:t>
            </w:r>
          </w:p>
        </w:tc>
        <w:tc>
          <w:tcPr>
            <w:tcW w:w="962" w:type="pct"/>
            <w:tcBorders>
              <w:top w:val="single" w:sz="8" w:space="0" w:color="auto"/>
              <w:left w:val="single" w:sz="8" w:space="0" w:color="auto"/>
              <w:bottom w:val="single" w:sz="8" w:space="0" w:color="auto"/>
              <w:right w:val="single" w:sz="8" w:space="0" w:color="auto"/>
            </w:tcBorders>
            <w:noWrap/>
            <w:vAlign w:val="center"/>
            <w:hideMark/>
          </w:tcPr>
          <w:p w14:paraId="69729418"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Fitch</w:t>
            </w:r>
          </w:p>
        </w:tc>
        <w:tc>
          <w:tcPr>
            <w:tcW w:w="797" w:type="pct"/>
            <w:vMerge w:val="restart"/>
            <w:tcBorders>
              <w:top w:val="single" w:sz="8" w:space="0" w:color="auto"/>
              <w:left w:val="single" w:sz="8" w:space="0" w:color="auto"/>
              <w:bottom w:val="single" w:sz="8" w:space="0" w:color="000000"/>
              <w:right w:val="single" w:sz="8" w:space="0" w:color="auto"/>
            </w:tcBorders>
            <w:noWrap/>
            <w:vAlign w:val="center"/>
            <w:hideMark/>
          </w:tcPr>
          <w:p w14:paraId="6BA83BBA"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w:t>
            </w:r>
          </w:p>
        </w:tc>
      </w:tr>
      <w:tr w:rsidR="00BA43DC" w:rsidRPr="00BE536E" w14:paraId="65B64C6E" w14:textId="77777777" w:rsidTr="00BA43DC">
        <w:trPr>
          <w:trHeight w:val="345"/>
          <w:tblHeader/>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5DA80AF" w14:textId="77777777" w:rsidR="00BA43DC" w:rsidRPr="00BE536E" w:rsidRDefault="00BA43DC">
            <w:pPr>
              <w:spacing w:after="0" w:line="240" w:lineRule="auto"/>
              <w:rPr>
                <w:rFonts w:ascii="Verdana" w:hAnsi="Verdana"/>
                <w:b/>
                <w:bCs/>
                <w:color w:val="000000"/>
                <w:sz w:val="20"/>
                <w:szCs w:val="2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A878241" w14:textId="77777777" w:rsidR="00BA43DC" w:rsidRPr="00BE536E" w:rsidRDefault="00BA43DC">
            <w:pPr>
              <w:spacing w:after="0" w:line="240" w:lineRule="auto"/>
              <w:rPr>
                <w:rFonts w:ascii="Verdana" w:hAnsi="Verdana"/>
                <w:b/>
                <w:bCs/>
                <w:color w:val="000000"/>
                <w:sz w:val="20"/>
                <w:szCs w:val="20"/>
              </w:rPr>
            </w:pPr>
          </w:p>
        </w:tc>
        <w:tc>
          <w:tcPr>
            <w:tcW w:w="963" w:type="pct"/>
            <w:tcBorders>
              <w:top w:val="nil"/>
              <w:left w:val="nil"/>
              <w:bottom w:val="single" w:sz="8" w:space="0" w:color="auto"/>
              <w:right w:val="single" w:sz="8" w:space="0" w:color="auto"/>
            </w:tcBorders>
            <w:vAlign w:val="center"/>
            <w:hideMark/>
          </w:tcPr>
          <w:p w14:paraId="6B9CD8CB"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Международная шкала</w:t>
            </w:r>
          </w:p>
        </w:tc>
        <w:tc>
          <w:tcPr>
            <w:tcW w:w="963" w:type="pct"/>
            <w:tcBorders>
              <w:top w:val="nil"/>
              <w:left w:val="nil"/>
              <w:bottom w:val="single" w:sz="8" w:space="0" w:color="auto"/>
              <w:right w:val="single" w:sz="8" w:space="0" w:color="auto"/>
            </w:tcBorders>
            <w:vAlign w:val="center"/>
            <w:hideMark/>
          </w:tcPr>
          <w:p w14:paraId="7B35D423"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Международная шкала</w:t>
            </w:r>
          </w:p>
        </w:tc>
        <w:tc>
          <w:tcPr>
            <w:tcW w:w="962" w:type="pct"/>
            <w:tcBorders>
              <w:top w:val="nil"/>
              <w:left w:val="nil"/>
              <w:bottom w:val="single" w:sz="8" w:space="0" w:color="auto"/>
              <w:right w:val="single" w:sz="8" w:space="0" w:color="auto"/>
            </w:tcBorders>
            <w:vAlign w:val="center"/>
            <w:hideMark/>
          </w:tcPr>
          <w:p w14:paraId="5B182E3C"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Международная шкала</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9B2A6D0" w14:textId="77777777" w:rsidR="00BA43DC" w:rsidRPr="00BE536E" w:rsidRDefault="00BA43DC">
            <w:pPr>
              <w:spacing w:after="0" w:line="240" w:lineRule="auto"/>
              <w:rPr>
                <w:rFonts w:ascii="Verdana" w:hAnsi="Verdana"/>
                <w:b/>
                <w:bCs/>
                <w:color w:val="000000"/>
                <w:sz w:val="20"/>
                <w:szCs w:val="20"/>
              </w:rPr>
            </w:pPr>
          </w:p>
        </w:tc>
      </w:tr>
      <w:tr w:rsidR="00BA43DC" w:rsidRPr="00BE536E" w14:paraId="66BC4C48" w14:textId="77777777" w:rsidTr="00BA43DC">
        <w:trPr>
          <w:trHeight w:val="345"/>
          <w:jc w:val="center"/>
        </w:trPr>
        <w:tc>
          <w:tcPr>
            <w:tcW w:w="723" w:type="pct"/>
            <w:vMerge w:val="restart"/>
            <w:tcBorders>
              <w:top w:val="nil"/>
              <w:left w:val="single" w:sz="8" w:space="0" w:color="auto"/>
              <w:bottom w:val="single" w:sz="8" w:space="0" w:color="auto"/>
              <w:right w:val="single" w:sz="8" w:space="0" w:color="auto"/>
            </w:tcBorders>
            <w:vAlign w:val="center"/>
            <w:hideMark/>
          </w:tcPr>
          <w:p w14:paraId="1D9F141F"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AAA(RU)</w:t>
            </w:r>
          </w:p>
        </w:tc>
        <w:tc>
          <w:tcPr>
            <w:tcW w:w="592" w:type="pct"/>
            <w:vMerge w:val="restart"/>
            <w:tcBorders>
              <w:top w:val="nil"/>
              <w:left w:val="nil"/>
              <w:bottom w:val="single" w:sz="8" w:space="0" w:color="auto"/>
              <w:right w:val="single" w:sz="8" w:space="0" w:color="auto"/>
            </w:tcBorders>
            <w:vAlign w:val="center"/>
            <w:hideMark/>
          </w:tcPr>
          <w:p w14:paraId="7AD39BE9"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ruAAA</w:t>
            </w:r>
          </w:p>
        </w:tc>
        <w:tc>
          <w:tcPr>
            <w:tcW w:w="963" w:type="pct"/>
            <w:tcBorders>
              <w:top w:val="nil"/>
              <w:left w:val="nil"/>
              <w:bottom w:val="single" w:sz="8" w:space="0" w:color="auto"/>
              <w:right w:val="single" w:sz="8" w:space="0" w:color="auto"/>
            </w:tcBorders>
            <w:noWrap/>
            <w:vAlign w:val="center"/>
            <w:hideMark/>
          </w:tcPr>
          <w:p w14:paraId="231131C2"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Ваа1</w:t>
            </w:r>
          </w:p>
        </w:tc>
        <w:tc>
          <w:tcPr>
            <w:tcW w:w="963" w:type="pct"/>
            <w:tcBorders>
              <w:top w:val="nil"/>
              <w:left w:val="nil"/>
              <w:bottom w:val="single" w:sz="8" w:space="0" w:color="auto"/>
              <w:right w:val="single" w:sz="8" w:space="0" w:color="auto"/>
            </w:tcBorders>
            <w:vAlign w:val="center"/>
            <w:hideMark/>
          </w:tcPr>
          <w:p w14:paraId="65AE998B"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962" w:type="pct"/>
            <w:tcBorders>
              <w:top w:val="nil"/>
              <w:left w:val="nil"/>
              <w:bottom w:val="single" w:sz="8" w:space="0" w:color="auto"/>
              <w:right w:val="single" w:sz="8" w:space="0" w:color="auto"/>
            </w:tcBorders>
            <w:noWrap/>
            <w:vAlign w:val="center"/>
            <w:hideMark/>
          </w:tcPr>
          <w:p w14:paraId="764560EE"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797" w:type="pct"/>
            <w:vMerge w:val="restart"/>
            <w:tcBorders>
              <w:top w:val="nil"/>
              <w:left w:val="single" w:sz="8" w:space="0" w:color="auto"/>
              <w:bottom w:val="single" w:sz="8" w:space="0" w:color="000000"/>
              <w:right w:val="single" w:sz="8" w:space="0" w:color="auto"/>
            </w:tcBorders>
            <w:noWrap/>
            <w:vAlign w:val="center"/>
            <w:hideMark/>
          </w:tcPr>
          <w:p w14:paraId="5EA478D4"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 I</w:t>
            </w:r>
          </w:p>
        </w:tc>
      </w:tr>
      <w:tr w:rsidR="00BA43DC" w:rsidRPr="00BE536E" w14:paraId="38517274" w14:textId="77777777" w:rsidTr="00BA43DC">
        <w:trPr>
          <w:trHeight w:val="345"/>
          <w:jc w:val="center"/>
        </w:trPr>
        <w:tc>
          <w:tcPr>
            <w:tcW w:w="0" w:type="auto"/>
            <w:vMerge/>
            <w:tcBorders>
              <w:top w:val="nil"/>
              <w:left w:val="single" w:sz="8" w:space="0" w:color="auto"/>
              <w:bottom w:val="single" w:sz="8" w:space="0" w:color="auto"/>
              <w:right w:val="single" w:sz="8" w:space="0" w:color="auto"/>
            </w:tcBorders>
            <w:vAlign w:val="center"/>
            <w:hideMark/>
          </w:tcPr>
          <w:p w14:paraId="60C75C3E" w14:textId="77777777" w:rsidR="00BA43DC" w:rsidRPr="00BE536E" w:rsidRDefault="00BA43DC">
            <w:pPr>
              <w:spacing w:after="0" w:line="240" w:lineRule="auto"/>
              <w:rPr>
                <w:rFonts w:ascii="Verdana" w:hAnsi="Verdana"/>
                <w:color w:val="000000"/>
                <w:sz w:val="20"/>
                <w:szCs w:val="20"/>
              </w:rPr>
            </w:pPr>
          </w:p>
        </w:tc>
        <w:tc>
          <w:tcPr>
            <w:tcW w:w="0" w:type="auto"/>
            <w:vMerge/>
            <w:tcBorders>
              <w:top w:val="nil"/>
              <w:left w:val="nil"/>
              <w:bottom w:val="single" w:sz="8" w:space="0" w:color="auto"/>
              <w:right w:val="single" w:sz="8" w:space="0" w:color="auto"/>
            </w:tcBorders>
            <w:vAlign w:val="center"/>
            <w:hideMark/>
          </w:tcPr>
          <w:p w14:paraId="5B2A9A8D" w14:textId="77777777" w:rsidR="00BA43DC" w:rsidRPr="00BE536E" w:rsidRDefault="00BA43DC">
            <w:pPr>
              <w:spacing w:after="0" w:line="240" w:lineRule="auto"/>
              <w:rPr>
                <w:rFonts w:ascii="Verdana" w:hAnsi="Verdana"/>
                <w:color w:val="000000"/>
                <w:sz w:val="20"/>
                <w:szCs w:val="20"/>
              </w:rPr>
            </w:pPr>
          </w:p>
        </w:tc>
        <w:tc>
          <w:tcPr>
            <w:tcW w:w="963" w:type="pct"/>
            <w:tcBorders>
              <w:top w:val="nil"/>
              <w:left w:val="nil"/>
              <w:bottom w:val="single" w:sz="8" w:space="0" w:color="auto"/>
              <w:right w:val="single" w:sz="8" w:space="0" w:color="auto"/>
            </w:tcBorders>
            <w:noWrap/>
            <w:vAlign w:val="center"/>
            <w:hideMark/>
          </w:tcPr>
          <w:p w14:paraId="0C77FFDF"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Ваа2</w:t>
            </w:r>
          </w:p>
        </w:tc>
        <w:tc>
          <w:tcPr>
            <w:tcW w:w="963" w:type="pct"/>
            <w:tcBorders>
              <w:top w:val="nil"/>
              <w:left w:val="nil"/>
              <w:bottom w:val="single" w:sz="8" w:space="0" w:color="auto"/>
              <w:right w:val="single" w:sz="8" w:space="0" w:color="auto"/>
            </w:tcBorders>
            <w:vAlign w:val="center"/>
            <w:hideMark/>
          </w:tcPr>
          <w:p w14:paraId="729FD005"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962" w:type="pct"/>
            <w:tcBorders>
              <w:top w:val="nil"/>
              <w:left w:val="nil"/>
              <w:bottom w:val="single" w:sz="8" w:space="0" w:color="auto"/>
              <w:right w:val="single" w:sz="8" w:space="0" w:color="auto"/>
            </w:tcBorders>
            <w:noWrap/>
            <w:vAlign w:val="center"/>
            <w:hideMark/>
          </w:tcPr>
          <w:p w14:paraId="77FC50FD"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0" w:type="auto"/>
            <w:vMerge/>
            <w:tcBorders>
              <w:top w:val="nil"/>
              <w:left w:val="single" w:sz="8" w:space="0" w:color="auto"/>
              <w:bottom w:val="single" w:sz="8" w:space="0" w:color="000000"/>
              <w:right w:val="single" w:sz="8" w:space="0" w:color="auto"/>
            </w:tcBorders>
            <w:vAlign w:val="center"/>
            <w:hideMark/>
          </w:tcPr>
          <w:p w14:paraId="25BBFFCF" w14:textId="77777777" w:rsidR="00BA43DC" w:rsidRPr="00BE536E" w:rsidRDefault="00BA43DC">
            <w:pPr>
              <w:spacing w:after="0" w:line="240" w:lineRule="auto"/>
              <w:rPr>
                <w:rFonts w:ascii="Verdana" w:hAnsi="Verdana"/>
                <w:b/>
                <w:bCs/>
                <w:color w:val="000000"/>
                <w:sz w:val="20"/>
                <w:szCs w:val="20"/>
              </w:rPr>
            </w:pPr>
          </w:p>
        </w:tc>
      </w:tr>
      <w:tr w:rsidR="00BA43DC" w:rsidRPr="00BE536E" w14:paraId="42046E4C" w14:textId="77777777" w:rsidTr="00BA43DC">
        <w:trPr>
          <w:trHeight w:val="345"/>
          <w:jc w:val="center"/>
        </w:trPr>
        <w:tc>
          <w:tcPr>
            <w:tcW w:w="0" w:type="auto"/>
            <w:vMerge/>
            <w:tcBorders>
              <w:top w:val="nil"/>
              <w:left w:val="single" w:sz="8" w:space="0" w:color="auto"/>
              <w:bottom w:val="single" w:sz="8" w:space="0" w:color="auto"/>
              <w:right w:val="single" w:sz="8" w:space="0" w:color="auto"/>
            </w:tcBorders>
            <w:vAlign w:val="center"/>
            <w:hideMark/>
          </w:tcPr>
          <w:p w14:paraId="27A0A635" w14:textId="77777777" w:rsidR="00BA43DC" w:rsidRPr="00BE536E" w:rsidRDefault="00BA43DC">
            <w:pPr>
              <w:spacing w:after="0" w:line="240" w:lineRule="auto"/>
              <w:rPr>
                <w:rFonts w:ascii="Verdana" w:hAnsi="Verdana"/>
                <w:color w:val="000000"/>
                <w:sz w:val="20"/>
                <w:szCs w:val="20"/>
              </w:rPr>
            </w:pPr>
          </w:p>
        </w:tc>
        <w:tc>
          <w:tcPr>
            <w:tcW w:w="0" w:type="auto"/>
            <w:vMerge/>
            <w:tcBorders>
              <w:top w:val="nil"/>
              <w:left w:val="nil"/>
              <w:bottom w:val="single" w:sz="8" w:space="0" w:color="auto"/>
              <w:right w:val="single" w:sz="8" w:space="0" w:color="auto"/>
            </w:tcBorders>
            <w:vAlign w:val="center"/>
            <w:hideMark/>
          </w:tcPr>
          <w:p w14:paraId="5914FF77" w14:textId="77777777" w:rsidR="00BA43DC" w:rsidRPr="00BE536E" w:rsidRDefault="00BA43DC">
            <w:pPr>
              <w:spacing w:after="0" w:line="240" w:lineRule="auto"/>
              <w:rPr>
                <w:rFonts w:ascii="Verdana" w:hAnsi="Verdana"/>
                <w:color w:val="000000"/>
                <w:sz w:val="20"/>
                <w:szCs w:val="20"/>
              </w:rPr>
            </w:pPr>
          </w:p>
        </w:tc>
        <w:tc>
          <w:tcPr>
            <w:tcW w:w="963" w:type="pct"/>
            <w:tcBorders>
              <w:top w:val="nil"/>
              <w:left w:val="nil"/>
              <w:bottom w:val="single" w:sz="8" w:space="0" w:color="auto"/>
              <w:right w:val="single" w:sz="8" w:space="0" w:color="auto"/>
            </w:tcBorders>
            <w:noWrap/>
            <w:vAlign w:val="center"/>
            <w:hideMark/>
          </w:tcPr>
          <w:p w14:paraId="15996B9F"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Ваа3</w:t>
            </w:r>
          </w:p>
        </w:tc>
        <w:tc>
          <w:tcPr>
            <w:tcW w:w="963" w:type="pct"/>
            <w:tcBorders>
              <w:top w:val="nil"/>
              <w:left w:val="nil"/>
              <w:bottom w:val="single" w:sz="8" w:space="0" w:color="auto"/>
              <w:right w:val="single" w:sz="8" w:space="0" w:color="auto"/>
            </w:tcBorders>
            <w:vAlign w:val="center"/>
            <w:hideMark/>
          </w:tcPr>
          <w:p w14:paraId="39C2821D"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ВВВ-</w:t>
            </w:r>
          </w:p>
        </w:tc>
        <w:tc>
          <w:tcPr>
            <w:tcW w:w="962" w:type="pct"/>
            <w:tcBorders>
              <w:top w:val="nil"/>
              <w:left w:val="nil"/>
              <w:bottom w:val="single" w:sz="8" w:space="0" w:color="auto"/>
              <w:right w:val="single" w:sz="8" w:space="0" w:color="auto"/>
            </w:tcBorders>
            <w:noWrap/>
            <w:vAlign w:val="center"/>
            <w:hideMark/>
          </w:tcPr>
          <w:p w14:paraId="760653B8"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ВВВ-</w:t>
            </w:r>
          </w:p>
        </w:tc>
        <w:tc>
          <w:tcPr>
            <w:tcW w:w="0" w:type="auto"/>
            <w:vMerge/>
            <w:tcBorders>
              <w:top w:val="nil"/>
              <w:left w:val="single" w:sz="8" w:space="0" w:color="auto"/>
              <w:bottom w:val="single" w:sz="8" w:space="0" w:color="000000"/>
              <w:right w:val="single" w:sz="8" w:space="0" w:color="auto"/>
            </w:tcBorders>
            <w:vAlign w:val="center"/>
            <w:hideMark/>
          </w:tcPr>
          <w:p w14:paraId="6BC6BB18" w14:textId="77777777" w:rsidR="00BA43DC" w:rsidRPr="00BE536E" w:rsidRDefault="00BA43DC">
            <w:pPr>
              <w:spacing w:after="0" w:line="240" w:lineRule="auto"/>
              <w:rPr>
                <w:rFonts w:ascii="Verdana" w:hAnsi="Verdana"/>
                <w:b/>
                <w:bCs/>
                <w:color w:val="000000"/>
                <w:sz w:val="20"/>
                <w:szCs w:val="20"/>
              </w:rPr>
            </w:pPr>
          </w:p>
        </w:tc>
      </w:tr>
      <w:tr w:rsidR="00BA43DC" w:rsidRPr="00BE536E" w14:paraId="59940DE9"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3F0826B6" w14:textId="77777777" w:rsidR="00BA43DC" w:rsidRPr="00BE536E" w:rsidRDefault="00BA43DC">
            <w:pPr>
              <w:tabs>
                <w:tab w:val="left" w:pos="567"/>
              </w:tabs>
              <w:spacing w:after="0" w:line="312" w:lineRule="auto"/>
              <w:jc w:val="both"/>
              <w:rPr>
                <w:rFonts w:ascii="Verdana" w:hAnsi="Verdana"/>
                <w:color w:val="000000"/>
                <w:sz w:val="20"/>
                <w:szCs w:val="20"/>
                <w:lang w:val="en-US"/>
              </w:rPr>
            </w:pPr>
            <w:r w:rsidRPr="00BE536E">
              <w:rPr>
                <w:rFonts w:ascii="Verdana" w:hAnsi="Verdana"/>
                <w:color w:val="000000"/>
                <w:sz w:val="20"/>
                <w:szCs w:val="20"/>
                <w:lang w:val="en-US"/>
              </w:rPr>
              <w:t>AA+(RU), AA(RU),</w:t>
            </w:r>
          </w:p>
          <w:p w14:paraId="36C1EA6F" w14:textId="77777777" w:rsidR="00BA43DC" w:rsidRPr="00BE536E" w:rsidRDefault="00BA43DC">
            <w:pPr>
              <w:tabs>
                <w:tab w:val="left" w:pos="567"/>
              </w:tabs>
              <w:spacing w:after="0" w:line="312" w:lineRule="auto"/>
              <w:jc w:val="both"/>
              <w:rPr>
                <w:rFonts w:ascii="Verdana" w:hAnsi="Verdana"/>
                <w:color w:val="000000"/>
                <w:sz w:val="20"/>
                <w:szCs w:val="20"/>
                <w:lang w:val="en-US"/>
              </w:rPr>
            </w:pPr>
            <w:r w:rsidRPr="00BE536E">
              <w:rPr>
                <w:rFonts w:ascii="Verdana" w:hAnsi="Verdana"/>
                <w:color w:val="000000"/>
                <w:sz w:val="20"/>
                <w:szCs w:val="20"/>
                <w:lang w:val="en-US"/>
              </w:rPr>
              <w:t>AA-(RU)</w:t>
            </w:r>
          </w:p>
        </w:tc>
        <w:tc>
          <w:tcPr>
            <w:tcW w:w="592" w:type="pct"/>
            <w:tcBorders>
              <w:top w:val="nil"/>
              <w:left w:val="nil"/>
              <w:bottom w:val="single" w:sz="8" w:space="0" w:color="auto"/>
              <w:right w:val="single" w:sz="8" w:space="0" w:color="auto"/>
            </w:tcBorders>
            <w:vAlign w:val="center"/>
            <w:hideMark/>
          </w:tcPr>
          <w:p w14:paraId="484B87C1"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ruAA+, ruAA</w:t>
            </w:r>
          </w:p>
        </w:tc>
        <w:tc>
          <w:tcPr>
            <w:tcW w:w="963" w:type="pct"/>
            <w:tcBorders>
              <w:top w:val="nil"/>
              <w:left w:val="nil"/>
              <w:bottom w:val="single" w:sz="8" w:space="0" w:color="auto"/>
              <w:right w:val="single" w:sz="8" w:space="0" w:color="auto"/>
            </w:tcBorders>
            <w:noWrap/>
            <w:vAlign w:val="center"/>
            <w:hideMark/>
          </w:tcPr>
          <w:p w14:paraId="14A3D261"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Ва1</w:t>
            </w:r>
          </w:p>
        </w:tc>
        <w:tc>
          <w:tcPr>
            <w:tcW w:w="963" w:type="pct"/>
            <w:tcBorders>
              <w:top w:val="nil"/>
              <w:left w:val="nil"/>
              <w:bottom w:val="single" w:sz="8" w:space="0" w:color="auto"/>
              <w:right w:val="single" w:sz="8" w:space="0" w:color="auto"/>
            </w:tcBorders>
            <w:vAlign w:val="center"/>
            <w:hideMark/>
          </w:tcPr>
          <w:p w14:paraId="6BCA8FDA"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w:t>
            </w:r>
          </w:p>
        </w:tc>
        <w:tc>
          <w:tcPr>
            <w:tcW w:w="962" w:type="pct"/>
            <w:tcBorders>
              <w:top w:val="nil"/>
              <w:left w:val="nil"/>
              <w:bottom w:val="single" w:sz="8" w:space="0" w:color="auto"/>
              <w:right w:val="single" w:sz="8" w:space="0" w:color="auto"/>
            </w:tcBorders>
            <w:noWrap/>
            <w:vAlign w:val="center"/>
            <w:hideMark/>
          </w:tcPr>
          <w:p w14:paraId="54FD9C60"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w:t>
            </w:r>
          </w:p>
        </w:tc>
        <w:tc>
          <w:tcPr>
            <w:tcW w:w="797" w:type="pct"/>
            <w:vMerge w:val="restart"/>
            <w:tcBorders>
              <w:top w:val="nil"/>
              <w:left w:val="single" w:sz="8" w:space="0" w:color="auto"/>
              <w:bottom w:val="single" w:sz="8" w:space="0" w:color="000000"/>
              <w:right w:val="single" w:sz="8" w:space="0" w:color="auto"/>
            </w:tcBorders>
            <w:vAlign w:val="center"/>
            <w:hideMark/>
          </w:tcPr>
          <w:p w14:paraId="2064E438"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 II</w:t>
            </w:r>
          </w:p>
        </w:tc>
      </w:tr>
      <w:tr w:rsidR="00BA43DC" w:rsidRPr="00BE536E" w14:paraId="5000FBD9"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1FE68E1F"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A+(RU), A(RU)</w:t>
            </w:r>
          </w:p>
        </w:tc>
        <w:tc>
          <w:tcPr>
            <w:tcW w:w="592" w:type="pct"/>
            <w:tcBorders>
              <w:top w:val="nil"/>
              <w:left w:val="nil"/>
              <w:bottom w:val="single" w:sz="8" w:space="0" w:color="auto"/>
              <w:right w:val="single" w:sz="8" w:space="0" w:color="auto"/>
            </w:tcBorders>
            <w:vAlign w:val="center"/>
            <w:hideMark/>
          </w:tcPr>
          <w:p w14:paraId="6AE6F302"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ruAA-, ruA+</w:t>
            </w:r>
          </w:p>
        </w:tc>
        <w:tc>
          <w:tcPr>
            <w:tcW w:w="963" w:type="pct"/>
            <w:tcBorders>
              <w:top w:val="nil"/>
              <w:left w:val="nil"/>
              <w:bottom w:val="single" w:sz="8" w:space="0" w:color="auto"/>
              <w:right w:val="single" w:sz="8" w:space="0" w:color="auto"/>
            </w:tcBorders>
            <w:noWrap/>
            <w:vAlign w:val="center"/>
            <w:hideMark/>
          </w:tcPr>
          <w:p w14:paraId="390572F6"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Ва2</w:t>
            </w:r>
          </w:p>
        </w:tc>
        <w:tc>
          <w:tcPr>
            <w:tcW w:w="963" w:type="pct"/>
            <w:tcBorders>
              <w:top w:val="nil"/>
              <w:left w:val="nil"/>
              <w:bottom w:val="single" w:sz="8" w:space="0" w:color="auto"/>
              <w:right w:val="single" w:sz="8" w:space="0" w:color="auto"/>
            </w:tcBorders>
            <w:vAlign w:val="center"/>
            <w:hideMark/>
          </w:tcPr>
          <w:p w14:paraId="21181C1D"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962" w:type="pct"/>
            <w:tcBorders>
              <w:top w:val="nil"/>
              <w:left w:val="nil"/>
              <w:bottom w:val="single" w:sz="8" w:space="0" w:color="auto"/>
              <w:right w:val="single" w:sz="8" w:space="0" w:color="auto"/>
            </w:tcBorders>
            <w:noWrap/>
            <w:vAlign w:val="center"/>
            <w:hideMark/>
          </w:tcPr>
          <w:p w14:paraId="34FB48B9"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0" w:type="auto"/>
            <w:vMerge/>
            <w:tcBorders>
              <w:top w:val="nil"/>
              <w:left w:val="single" w:sz="8" w:space="0" w:color="auto"/>
              <w:bottom w:val="single" w:sz="8" w:space="0" w:color="000000"/>
              <w:right w:val="single" w:sz="8" w:space="0" w:color="auto"/>
            </w:tcBorders>
            <w:vAlign w:val="center"/>
            <w:hideMark/>
          </w:tcPr>
          <w:p w14:paraId="27219FED" w14:textId="77777777" w:rsidR="00BA43DC" w:rsidRPr="00BE536E" w:rsidRDefault="00BA43DC">
            <w:pPr>
              <w:spacing w:after="0" w:line="240" w:lineRule="auto"/>
              <w:rPr>
                <w:rFonts w:ascii="Verdana" w:hAnsi="Verdana"/>
                <w:b/>
                <w:bCs/>
                <w:color w:val="000000"/>
                <w:sz w:val="20"/>
                <w:szCs w:val="20"/>
              </w:rPr>
            </w:pPr>
          </w:p>
        </w:tc>
      </w:tr>
      <w:tr w:rsidR="00BA43DC" w:rsidRPr="00BE536E" w14:paraId="07E29429"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50CA88E0"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A-(RU), BBB+(RU)</w:t>
            </w:r>
          </w:p>
        </w:tc>
        <w:tc>
          <w:tcPr>
            <w:tcW w:w="592" w:type="pct"/>
            <w:tcBorders>
              <w:top w:val="nil"/>
              <w:left w:val="nil"/>
              <w:bottom w:val="single" w:sz="8" w:space="0" w:color="auto"/>
              <w:right w:val="single" w:sz="8" w:space="0" w:color="auto"/>
            </w:tcBorders>
            <w:vAlign w:val="center"/>
            <w:hideMark/>
          </w:tcPr>
          <w:p w14:paraId="04F1D970"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ruA, ruA-, ruBBB+</w:t>
            </w:r>
          </w:p>
        </w:tc>
        <w:tc>
          <w:tcPr>
            <w:tcW w:w="963" w:type="pct"/>
            <w:tcBorders>
              <w:top w:val="nil"/>
              <w:left w:val="nil"/>
              <w:bottom w:val="single" w:sz="8" w:space="0" w:color="auto"/>
              <w:right w:val="single" w:sz="8" w:space="0" w:color="auto"/>
            </w:tcBorders>
            <w:vAlign w:val="center"/>
            <w:hideMark/>
          </w:tcPr>
          <w:p w14:paraId="4D2F4BEB"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Ва3</w:t>
            </w:r>
          </w:p>
        </w:tc>
        <w:tc>
          <w:tcPr>
            <w:tcW w:w="963" w:type="pct"/>
            <w:tcBorders>
              <w:top w:val="nil"/>
              <w:left w:val="nil"/>
              <w:bottom w:val="single" w:sz="8" w:space="0" w:color="auto"/>
              <w:right w:val="single" w:sz="8" w:space="0" w:color="auto"/>
            </w:tcBorders>
            <w:vAlign w:val="center"/>
            <w:hideMark/>
          </w:tcPr>
          <w:p w14:paraId="2A8052FC"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962" w:type="pct"/>
            <w:tcBorders>
              <w:top w:val="nil"/>
              <w:left w:val="nil"/>
              <w:bottom w:val="single" w:sz="8" w:space="0" w:color="auto"/>
              <w:right w:val="single" w:sz="8" w:space="0" w:color="auto"/>
            </w:tcBorders>
            <w:vAlign w:val="center"/>
            <w:hideMark/>
          </w:tcPr>
          <w:p w14:paraId="17FC5482"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0" w:type="auto"/>
            <w:vMerge/>
            <w:tcBorders>
              <w:top w:val="nil"/>
              <w:left w:val="single" w:sz="8" w:space="0" w:color="auto"/>
              <w:bottom w:val="single" w:sz="8" w:space="0" w:color="000000"/>
              <w:right w:val="single" w:sz="8" w:space="0" w:color="auto"/>
            </w:tcBorders>
            <w:vAlign w:val="center"/>
            <w:hideMark/>
          </w:tcPr>
          <w:p w14:paraId="4642B33A" w14:textId="77777777" w:rsidR="00BA43DC" w:rsidRPr="00BE536E" w:rsidRDefault="00BA43DC">
            <w:pPr>
              <w:spacing w:after="0" w:line="240" w:lineRule="auto"/>
              <w:rPr>
                <w:rFonts w:ascii="Verdana" w:hAnsi="Verdana"/>
                <w:b/>
                <w:bCs/>
                <w:color w:val="000000"/>
                <w:sz w:val="20"/>
                <w:szCs w:val="20"/>
              </w:rPr>
            </w:pPr>
          </w:p>
        </w:tc>
      </w:tr>
      <w:tr w:rsidR="00BA43DC" w:rsidRPr="00BE536E" w14:paraId="7BE35035"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1A5AA570" w14:textId="77777777" w:rsidR="00BA43DC" w:rsidRPr="00BE536E" w:rsidRDefault="00BA43DC">
            <w:pPr>
              <w:tabs>
                <w:tab w:val="left" w:pos="567"/>
              </w:tabs>
              <w:spacing w:after="0" w:line="312" w:lineRule="auto"/>
              <w:jc w:val="both"/>
              <w:rPr>
                <w:rFonts w:ascii="Verdana" w:hAnsi="Verdana"/>
                <w:color w:val="000000"/>
                <w:sz w:val="20"/>
                <w:szCs w:val="20"/>
                <w:lang w:val="en-US"/>
              </w:rPr>
            </w:pPr>
            <w:r w:rsidRPr="00BE536E">
              <w:rPr>
                <w:rFonts w:ascii="Verdana" w:hAnsi="Verdana"/>
                <w:color w:val="000000"/>
                <w:sz w:val="20"/>
                <w:szCs w:val="20"/>
                <w:lang w:val="en-US"/>
              </w:rPr>
              <w:t>BBB(RU), BBB-(RU)</w:t>
            </w:r>
          </w:p>
        </w:tc>
        <w:tc>
          <w:tcPr>
            <w:tcW w:w="592" w:type="pct"/>
            <w:tcBorders>
              <w:top w:val="nil"/>
              <w:left w:val="nil"/>
              <w:bottom w:val="single" w:sz="8" w:space="0" w:color="auto"/>
              <w:right w:val="single" w:sz="8" w:space="0" w:color="auto"/>
            </w:tcBorders>
            <w:vAlign w:val="center"/>
            <w:hideMark/>
          </w:tcPr>
          <w:p w14:paraId="22898A8A"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ruBBB</w:t>
            </w:r>
          </w:p>
        </w:tc>
        <w:tc>
          <w:tcPr>
            <w:tcW w:w="963" w:type="pct"/>
            <w:tcBorders>
              <w:top w:val="nil"/>
              <w:left w:val="nil"/>
              <w:bottom w:val="single" w:sz="8" w:space="0" w:color="auto"/>
              <w:right w:val="single" w:sz="8" w:space="0" w:color="auto"/>
            </w:tcBorders>
            <w:vAlign w:val="center"/>
            <w:hideMark/>
          </w:tcPr>
          <w:p w14:paraId="1194833D"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В1</w:t>
            </w:r>
          </w:p>
        </w:tc>
        <w:tc>
          <w:tcPr>
            <w:tcW w:w="963" w:type="pct"/>
            <w:tcBorders>
              <w:top w:val="nil"/>
              <w:left w:val="nil"/>
              <w:bottom w:val="single" w:sz="8" w:space="0" w:color="auto"/>
              <w:right w:val="single" w:sz="8" w:space="0" w:color="auto"/>
            </w:tcBorders>
            <w:vAlign w:val="center"/>
            <w:hideMark/>
          </w:tcPr>
          <w:p w14:paraId="097B69FE"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962" w:type="pct"/>
            <w:tcBorders>
              <w:top w:val="nil"/>
              <w:left w:val="nil"/>
              <w:bottom w:val="single" w:sz="8" w:space="0" w:color="auto"/>
              <w:right w:val="single" w:sz="8" w:space="0" w:color="auto"/>
            </w:tcBorders>
            <w:vAlign w:val="center"/>
            <w:hideMark/>
          </w:tcPr>
          <w:p w14:paraId="5E9DFCE7"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797" w:type="pct"/>
            <w:vMerge w:val="restart"/>
            <w:tcBorders>
              <w:top w:val="nil"/>
              <w:left w:val="single" w:sz="8" w:space="0" w:color="auto"/>
              <w:bottom w:val="single" w:sz="8" w:space="0" w:color="000000"/>
              <w:right w:val="single" w:sz="8" w:space="0" w:color="auto"/>
            </w:tcBorders>
            <w:vAlign w:val="center"/>
            <w:hideMark/>
          </w:tcPr>
          <w:p w14:paraId="6DFC1CA1" w14:textId="77777777" w:rsidR="00BA43DC" w:rsidRPr="00BE536E" w:rsidRDefault="00BA43DC">
            <w:pPr>
              <w:tabs>
                <w:tab w:val="left" w:pos="567"/>
              </w:tabs>
              <w:spacing w:after="0" w:line="312" w:lineRule="auto"/>
              <w:jc w:val="both"/>
              <w:rPr>
                <w:rFonts w:ascii="Verdana" w:hAnsi="Verdana"/>
                <w:b/>
                <w:bCs/>
                <w:color w:val="000000"/>
                <w:sz w:val="20"/>
                <w:szCs w:val="20"/>
                <w:lang w:val="en-US"/>
              </w:rPr>
            </w:pPr>
            <w:r w:rsidRPr="00BE536E">
              <w:rPr>
                <w:rFonts w:ascii="Verdana" w:hAnsi="Verdana"/>
                <w:b/>
                <w:bCs/>
                <w:color w:val="000000"/>
                <w:sz w:val="20"/>
                <w:szCs w:val="20"/>
              </w:rPr>
              <w:t>Рейтинговая группа II</w:t>
            </w:r>
            <w:r w:rsidRPr="00BE536E">
              <w:rPr>
                <w:rFonts w:ascii="Verdana" w:hAnsi="Verdana"/>
                <w:b/>
                <w:bCs/>
                <w:color w:val="000000"/>
                <w:sz w:val="20"/>
                <w:szCs w:val="20"/>
                <w:lang w:val="en-US"/>
              </w:rPr>
              <w:t>I</w:t>
            </w:r>
          </w:p>
        </w:tc>
      </w:tr>
      <w:tr w:rsidR="00BA43DC" w:rsidRPr="00BE536E" w14:paraId="60309986"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5A890E0B"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lastRenderedPageBreak/>
              <w:t>BB+(RU)</w:t>
            </w:r>
          </w:p>
        </w:tc>
        <w:tc>
          <w:tcPr>
            <w:tcW w:w="592" w:type="pct"/>
            <w:tcBorders>
              <w:top w:val="nil"/>
              <w:left w:val="nil"/>
              <w:bottom w:val="single" w:sz="8" w:space="0" w:color="auto"/>
              <w:right w:val="single" w:sz="8" w:space="0" w:color="auto"/>
            </w:tcBorders>
            <w:vAlign w:val="center"/>
            <w:hideMark/>
          </w:tcPr>
          <w:p w14:paraId="56ECA186"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ruBBB-, ruBB+</w:t>
            </w:r>
          </w:p>
        </w:tc>
        <w:tc>
          <w:tcPr>
            <w:tcW w:w="963" w:type="pct"/>
            <w:tcBorders>
              <w:top w:val="nil"/>
              <w:left w:val="nil"/>
              <w:bottom w:val="single" w:sz="8" w:space="0" w:color="auto"/>
              <w:right w:val="single" w:sz="8" w:space="0" w:color="auto"/>
            </w:tcBorders>
            <w:vAlign w:val="center"/>
            <w:hideMark/>
          </w:tcPr>
          <w:p w14:paraId="4EFD703D"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В2</w:t>
            </w:r>
          </w:p>
        </w:tc>
        <w:tc>
          <w:tcPr>
            <w:tcW w:w="963" w:type="pct"/>
            <w:tcBorders>
              <w:top w:val="nil"/>
              <w:left w:val="nil"/>
              <w:bottom w:val="single" w:sz="8" w:space="0" w:color="auto"/>
              <w:right w:val="single" w:sz="8" w:space="0" w:color="auto"/>
            </w:tcBorders>
            <w:vAlign w:val="center"/>
            <w:hideMark/>
          </w:tcPr>
          <w:p w14:paraId="6BC7B6D7"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962" w:type="pct"/>
            <w:tcBorders>
              <w:top w:val="nil"/>
              <w:left w:val="nil"/>
              <w:bottom w:val="single" w:sz="8" w:space="0" w:color="auto"/>
              <w:right w:val="single" w:sz="8" w:space="0" w:color="auto"/>
            </w:tcBorders>
            <w:vAlign w:val="center"/>
            <w:hideMark/>
          </w:tcPr>
          <w:p w14:paraId="67BE3869"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0" w:type="auto"/>
            <w:vMerge/>
            <w:tcBorders>
              <w:top w:val="nil"/>
              <w:left w:val="single" w:sz="8" w:space="0" w:color="auto"/>
              <w:bottom w:val="single" w:sz="8" w:space="0" w:color="000000"/>
              <w:right w:val="single" w:sz="8" w:space="0" w:color="auto"/>
            </w:tcBorders>
            <w:vAlign w:val="center"/>
            <w:hideMark/>
          </w:tcPr>
          <w:p w14:paraId="0786F9FA" w14:textId="77777777" w:rsidR="00BA43DC" w:rsidRPr="00BE536E" w:rsidRDefault="00BA43DC">
            <w:pPr>
              <w:spacing w:after="0" w:line="240" w:lineRule="auto"/>
              <w:rPr>
                <w:rFonts w:ascii="Verdana" w:hAnsi="Verdana"/>
                <w:b/>
                <w:bCs/>
                <w:color w:val="000000"/>
                <w:sz w:val="20"/>
                <w:szCs w:val="20"/>
                <w:lang w:val="en-US"/>
              </w:rPr>
            </w:pPr>
          </w:p>
        </w:tc>
      </w:tr>
      <w:tr w:rsidR="00BA43DC" w:rsidRPr="00BE536E" w14:paraId="00AAFFC5"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437EA23D"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BB(RU)</w:t>
            </w:r>
          </w:p>
        </w:tc>
        <w:tc>
          <w:tcPr>
            <w:tcW w:w="592" w:type="pct"/>
            <w:tcBorders>
              <w:top w:val="nil"/>
              <w:left w:val="nil"/>
              <w:bottom w:val="single" w:sz="8" w:space="0" w:color="auto"/>
              <w:right w:val="single" w:sz="8" w:space="0" w:color="auto"/>
            </w:tcBorders>
            <w:vAlign w:val="center"/>
            <w:hideMark/>
          </w:tcPr>
          <w:p w14:paraId="6C22E1F6"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ruBB</w:t>
            </w:r>
          </w:p>
        </w:tc>
        <w:tc>
          <w:tcPr>
            <w:tcW w:w="963" w:type="pct"/>
            <w:tcBorders>
              <w:top w:val="nil"/>
              <w:left w:val="nil"/>
              <w:bottom w:val="single" w:sz="8" w:space="0" w:color="auto"/>
              <w:right w:val="single" w:sz="8" w:space="0" w:color="auto"/>
            </w:tcBorders>
            <w:vAlign w:val="center"/>
            <w:hideMark/>
          </w:tcPr>
          <w:p w14:paraId="1143987A"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B3</w:t>
            </w:r>
          </w:p>
        </w:tc>
        <w:tc>
          <w:tcPr>
            <w:tcW w:w="963" w:type="pct"/>
            <w:tcBorders>
              <w:top w:val="nil"/>
              <w:left w:val="nil"/>
              <w:bottom w:val="single" w:sz="8" w:space="0" w:color="auto"/>
              <w:right w:val="single" w:sz="8" w:space="0" w:color="auto"/>
            </w:tcBorders>
            <w:vAlign w:val="center"/>
            <w:hideMark/>
          </w:tcPr>
          <w:p w14:paraId="693D2868"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w:t>
            </w:r>
          </w:p>
        </w:tc>
        <w:tc>
          <w:tcPr>
            <w:tcW w:w="962" w:type="pct"/>
            <w:tcBorders>
              <w:top w:val="nil"/>
              <w:left w:val="nil"/>
              <w:bottom w:val="single" w:sz="8" w:space="0" w:color="auto"/>
              <w:right w:val="single" w:sz="8" w:space="0" w:color="auto"/>
            </w:tcBorders>
            <w:vAlign w:val="center"/>
            <w:hideMark/>
          </w:tcPr>
          <w:p w14:paraId="6A43FE70"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w:t>
            </w:r>
          </w:p>
        </w:tc>
        <w:tc>
          <w:tcPr>
            <w:tcW w:w="0" w:type="auto"/>
            <w:vMerge/>
            <w:tcBorders>
              <w:top w:val="nil"/>
              <w:left w:val="single" w:sz="8" w:space="0" w:color="auto"/>
              <w:bottom w:val="single" w:sz="8" w:space="0" w:color="000000"/>
              <w:right w:val="single" w:sz="8" w:space="0" w:color="auto"/>
            </w:tcBorders>
            <w:vAlign w:val="center"/>
            <w:hideMark/>
          </w:tcPr>
          <w:p w14:paraId="4D84F4AA" w14:textId="77777777" w:rsidR="00BA43DC" w:rsidRPr="00BE536E" w:rsidRDefault="00BA43DC">
            <w:pPr>
              <w:spacing w:after="0" w:line="240" w:lineRule="auto"/>
              <w:rPr>
                <w:rFonts w:ascii="Verdana" w:hAnsi="Verdana"/>
                <w:b/>
                <w:bCs/>
                <w:color w:val="000000"/>
                <w:sz w:val="20"/>
                <w:szCs w:val="20"/>
                <w:lang w:val="en-US"/>
              </w:rPr>
            </w:pPr>
          </w:p>
        </w:tc>
      </w:tr>
      <w:tr w:rsidR="00BA43DC" w:rsidRPr="00BE536E" w14:paraId="118CCB28" w14:textId="77777777" w:rsidTr="00BA43DC">
        <w:trPr>
          <w:trHeight w:val="345"/>
          <w:jc w:val="center"/>
        </w:trPr>
        <w:tc>
          <w:tcPr>
            <w:tcW w:w="4203" w:type="pct"/>
            <w:gridSpan w:val="5"/>
            <w:tcBorders>
              <w:top w:val="single" w:sz="8" w:space="0" w:color="auto"/>
              <w:left w:val="single" w:sz="8" w:space="0" w:color="auto"/>
              <w:bottom w:val="single" w:sz="8" w:space="0" w:color="auto"/>
              <w:right w:val="single" w:sz="8" w:space="0" w:color="000000"/>
            </w:tcBorders>
            <w:vAlign w:val="center"/>
            <w:hideMark/>
          </w:tcPr>
          <w:p w14:paraId="3B22CC28"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Более низкий рейтинг / рейтинг отсутствует</w:t>
            </w:r>
          </w:p>
        </w:tc>
        <w:tc>
          <w:tcPr>
            <w:tcW w:w="797" w:type="pct"/>
            <w:tcBorders>
              <w:top w:val="nil"/>
              <w:left w:val="nil"/>
              <w:bottom w:val="single" w:sz="8" w:space="0" w:color="auto"/>
              <w:right w:val="single" w:sz="8" w:space="0" w:color="auto"/>
            </w:tcBorders>
            <w:noWrap/>
            <w:vAlign w:val="center"/>
            <w:hideMark/>
          </w:tcPr>
          <w:p w14:paraId="40FEFF16"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 I</w:t>
            </w:r>
            <w:r w:rsidRPr="00BE536E">
              <w:rPr>
                <w:rFonts w:ascii="Verdana" w:hAnsi="Verdana"/>
                <w:b/>
                <w:bCs/>
                <w:color w:val="000000"/>
                <w:sz w:val="20"/>
                <w:szCs w:val="20"/>
                <w:lang w:val="en-US"/>
              </w:rPr>
              <w:t>V</w:t>
            </w:r>
          </w:p>
        </w:tc>
      </w:tr>
    </w:tbl>
    <w:p w14:paraId="615A810A" w14:textId="77777777" w:rsidR="00BA43DC" w:rsidRPr="00BE536E" w:rsidRDefault="00BA43DC" w:rsidP="00BA43DC">
      <w:pPr>
        <w:spacing w:after="0" w:line="312" w:lineRule="auto"/>
        <w:ind w:left="-1276"/>
        <w:jc w:val="both"/>
        <w:rPr>
          <w:rFonts w:ascii="Verdana" w:hAnsi="Verdana"/>
          <w:sz w:val="20"/>
          <w:szCs w:val="20"/>
        </w:rPr>
      </w:pPr>
    </w:p>
    <w:p w14:paraId="68154FB8"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наличии у долговой ценной бумаги, ее эмитента или поручителя нескольких рейтингов, выбирается наибольший из имеющихся актуальных кредитных рейтингов, с учетом следующего:</w:t>
      </w:r>
    </w:p>
    <w:p w14:paraId="14A0460D" w14:textId="77777777" w:rsidR="00BA43DC" w:rsidRPr="00BE536E" w:rsidRDefault="00BA43DC" w:rsidP="00D05311">
      <w:pPr>
        <w:numPr>
          <w:ilvl w:val="0"/>
          <w:numId w:val="109"/>
        </w:numPr>
        <w:spacing w:after="0" w:line="312" w:lineRule="auto"/>
        <w:ind w:left="1134" w:hanging="425"/>
        <w:contextualSpacing/>
        <w:jc w:val="both"/>
        <w:rPr>
          <w:rFonts w:ascii="Verdana" w:hAnsi="Verdana"/>
          <w:sz w:val="20"/>
          <w:szCs w:val="20"/>
        </w:rPr>
      </w:pPr>
      <w:r w:rsidRPr="00BE536E">
        <w:rPr>
          <w:rFonts w:ascii="Verdana" w:hAnsi="Verdana"/>
          <w:sz w:val="20"/>
          <w:szCs w:val="20"/>
        </w:rPr>
        <w:t>при наличии рейтинга выпуска используется наибольший из актуальных кредитных рейтингов выпуска, присвоенных различными рейтинговыми агентствами;</w:t>
      </w:r>
    </w:p>
    <w:p w14:paraId="63AC0C08" w14:textId="77777777" w:rsidR="00BA43DC" w:rsidRPr="00BE536E" w:rsidRDefault="00BA43DC" w:rsidP="00D05311">
      <w:pPr>
        <w:numPr>
          <w:ilvl w:val="0"/>
          <w:numId w:val="109"/>
        </w:numPr>
        <w:spacing w:after="0" w:line="312" w:lineRule="auto"/>
        <w:ind w:left="1134" w:hanging="425"/>
        <w:contextualSpacing/>
        <w:jc w:val="both"/>
        <w:rPr>
          <w:rFonts w:ascii="Verdana" w:hAnsi="Verdana"/>
          <w:sz w:val="20"/>
          <w:szCs w:val="20"/>
        </w:rPr>
      </w:pPr>
      <w:r w:rsidRPr="00BE536E">
        <w:rPr>
          <w:rFonts w:ascii="Verdana" w:hAnsi="Verdana"/>
          <w:sz w:val="20"/>
          <w:szCs w:val="20"/>
        </w:rPr>
        <w:t>в отсутствии рейтинга выпуска, присвоенного хотя бы одним рейтинговым агентством, при наличии рейтинга эмитента ценной бумаги используется наибольший из актуальных кредитных рейтингов эмитента, присвоенных различными рейтинговыми агентствами;</w:t>
      </w:r>
    </w:p>
    <w:p w14:paraId="5A56684B" w14:textId="77777777" w:rsidR="00BA43DC" w:rsidRPr="00BE536E" w:rsidRDefault="00BA43DC" w:rsidP="00D05311">
      <w:pPr>
        <w:numPr>
          <w:ilvl w:val="0"/>
          <w:numId w:val="109"/>
        </w:numPr>
        <w:spacing w:after="0" w:line="312" w:lineRule="auto"/>
        <w:ind w:left="1134" w:hanging="425"/>
        <w:jc w:val="both"/>
        <w:rPr>
          <w:rFonts w:ascii="Verdana" w:hAnsi="Verdana"/>
          <w:sz w:val="20"/>
          <w:szCs w:val="20"/>
        </w:rPr>
      </w:pPr>
      <w:r w:rsidRPr="00BE536E">
        <w:rPr>
          <w:rFonts w:ascii="Verdana" w:hAnsi="Verdana"/>
          <w:sz w:val="20"/>
          <w:szCs w:val="20"/>
        </w:rPr>
        <w:t>в отсутствии рейтинга выпуска и эмитента, присвоенного хотя бы одним рейтинговым агентством, при наличии рейтинга поручителя ценной бумаги используется наибольший из актуальных кредитных рейтингов поручителя, присвоенных различными рейтинговыми агентствами.</w:t>
      </w:r>
    </w:p>
    <w:p w14:paraId="3FEBF9D6" w14:textId="77777777" w:rsidR="00BA43DC" w:rsidRPr="00BE536E" w:rsidRDefault="00BA43DC" w:rsidP="00BA43DC">
      <w:pPr>
        <w:spacing w:after="0" w:line="312" w:lineRule="auto"/>
        <w:ind w:firstLine="708"/>
        <w:jc w:val="both"/>
        <w:rPr>
          <w:rFonts w:ascii="Verdana" w:hAnsi="Verdana"/>
          <w:sz w:val="20"/>
          <w:szCs w:val="20"/>
        </w:rPr>
      </w:pPr>
    </w:p>
    <w:p w14:paraId="5ADC527E" w14:textId="77777777" w:rsidR="00BA43DC" w:rsidRPr="00BE536E" w:rsidRDefault="00BA43DC" w:rsidP="00D05311">
      <w:pPr>
        <w:numPr>
          <w:ilvl w:val="0"/>
          <w:numId w:val="106"/>
        </w:numPr>
        <w:spacing w:after="0" w:line="312" w:lineRule="auto"/>
        <w:jc w:val="both"/>
        <w:rPr>
          <w:rFonts w:ascii="Verdana" w:hAnsi="Verdana"/>
          <w:b/>
          <w:sz w:val="20"/>
          <w:szCs w:val="20"/>
        </w:rPr>
      </w:pPr>
      <w:r w:rsidRPr="00BE536E">
        <w:rPr>
          <w:rFonts w:ascii="Verdana" w:hAnsi="Verdana"/>
          <w:b/>
          <w:sz w:val="20"/>
          <w:szCs w:val="20"/>
        </w:rPr>
        <w:t>Особенности определения кредитных спредов для I, II, III рейтинговых групп</w:t>
      </w:r>
    </w:p>
    <w:p w14:paraId="51559E1D"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Кредитный спред для рейтинговых групп </w:t>
      </w:r>
      <w:r w:rsidRPr="00BE536E">
        <w:rPr>
          <w:rFonts w:ascii="Verdana" w:hAnsi="Verdana"/>
          <w:sz w:val="20"/>
          <w:szCs w:val="20"/>
          <w:lang w:val="en-US"/>
        </w:rPr>
        <w:t>I</w:t>
      </w:r>
      <w:r w:rsidRPr="00BE536E">
        <w:rPr>
          <w:rFonts w:ascii="Verdana" w:hAnsi="Verdana"/>
          <w:sz w:val="20"/>
          <w:szCs w:val="20"/>
        </w:rPr>
        <w:t xml:space="preserve">, </w:t>
      </w:r>
      <w:r w:rsidRPr="00BE536E">
        <w:rPr>
          <w:rFonts w:ascii="Verdana" w:hAnsi="Verdana"/>
          <w:sz w:val="20"/>
          <w:szCs w:val="20"/>
          <w:lang w:val="en-US"/>
        </w:rPr>
        <w:t>II</w:t>
      </w:r>
      <w:r w:rsidRPr="00BE536E">
        <w:rPr>
          <w:rFonts w:ascii="Verdana" w:hAnsi="Verdana"/>
          <w:sz w:val="20"/>
          <w:szCs w:val="20"/>
        </w:rPr>
        <w:t xml:space="preserve">, </w:t>
      </w:r>
      <w:r w:rsidRPr="00BE536E">
        <w:rPr>
          <w:rFonts w:ascii="Verdana" w:hAnsi="Verdana"/>
          <w:sz w:val="20"/>
          <w:szCs w:val="20"/>
          <w:lang w:val="en-US"/>
        </w:rPr>
        <w:t>III</w:t>
      </w:r>
      <w:r w:rsidRPr="00BE536E">
        <w:rPr>
          <w:rFonts w:ascii="Verdana" w:hAnsi="Verdana"/>
          <w:sz w:val="20"/>
          <w:szCs w:val="20"/>
        </w:rPr>
        <w:t xml:space="preserve"> рассчитывается на каждую дату определения справедливой стоимости долгового инструмента.</w:t>
      </w:r>
    </w:p>
    <w:p w14:paraId="5C9F9F6B"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вычислении кредитного спреда I, II, III рейтинговых групп используется медианное значение кредитного спреда за последние 20 торговых дней (&lt;= даты определения справедливой стоимости).</w:t>
      </w:r>
    </w:p>
    <w:p w14:paraId="72B3A063" w14:textId="77777777" w:rsidR="00BA43DC" w:rsidRPr="00BE536E" w:rsidRDefault="00BA43DC" w:rsidP="00BA43DC">
      <w:pPr>
        <w:spacing w:after="0" w:line="312" w:lineRule="auto"/>
        <w:ind w:firstLine="690"/>
        <w:jc w:val="both"/>
        <w:rPr>
          <w:rFonts w:ascii="Verdana" w:hAnsi="Verdana"/>
          <w:sz w:val="20"/>
          <w:szCs w:val="20"/>
        </w:rPr>
      </w:pPr>
      <w:r w:rsidRPr="00BE536E">
        <w:rPr>
          <w:rFonts w:ascii="Verdana" w:hAnsi="Verdana"/>
          <w:sz w:val="20"/>
          <w:szCs w:val="20"/>
        </w:rPr>
        <w:t>Для расчета медианного значения кредитного спреда I, II, III рейтинговых групп используются значения доходности следующих облигационных индексов Московской биржи, раскрываемых по итогам каждого торгового дня на сайте Московской биржи:</w:t>
      </w:r>
    </w:p>
    <w:p w14:paraId="701CF1F8" w14:textId="77777777" w:rsidR="00BA43DC" w:rsidRPr="00BE536E" w:rsidRDefault="00BA43DC" w:rsidP="00BA43DC">
      <w:pPr>
        <w:spacing w:after="0" w:line="312" w:lineRule="auto"/>
        <w:jc w:val="both"/>
        <w:rPr>
          <w:rFonts w:ascii="Verdana" w:hAnsi="Verdana"/>
          <w:sz w:val="20"/>
          <w:szCs w:val="20"/>
        </w:rPr>
      </w:pPr>
    </w:p>
    <w:p w14:paraId="217BA89D" w14:textId="77777777" w:rsidR="00BA43DC" w:rsidRPr="00BE536E" w:rsidRDefault="00BA43DC" w:rsidP="00D05311">
      <w:pPr>
        <w:numPr>
          <w:ilvl w:val="0"/>
          <w:numId w:val="110"/>
        </w:numPr>
        <w:spacing w:after="0" w:line="312" w:lineRule="auto"/>
        <w:contextualSpacing/>
        <w:jc w:val="both"/>
        <w:rPr>
          <w:rFonts w:ascii="Verdana" w:hAnsi="Verdana"/>
          <w:sz w:val="20"/>
          <w:szCs w:val="20"/>
        </w:rPr>
      </w:pPr>
      <w:r w:rsidRPr="00BE536E">
        <w:rPr>
          <w:rFonts w:ascii="Verdana" w:hAnsi="Verdana"/>
          <w:sz w:val="20"/>
          <w:szCs w:val="20"/>
        </w:rPr>
        <w:t>Индекс корпоративных облигаций (&gt; 1 года, рейтинг ≥ BBB-)</w:t>
      </w:r>
    </w:p>
    <w:p w14:paraId="200049B5" w14:textId="77777777" w:rsidR="00BA43DC" w:rsidRPr="00BE536E" w:rsidRDefault="00BA43DC" w:rsidP="00BA43DC">
      <w:pPr>
        <w:spacing w:line="312" w:lineRule="auto"/>
        <w:ind w:firstLine="690"/>
        <w:contextualSpacing/>
        <w:jc w:val="both"/>
        <w:rPr>
          <w:rFonts w:ascii="Verdana" w:hAnsi="Verdana"/>
          <w:sz w:val="20"/>
          <w:szCs w:val="20"/>
        </w:rPr>
      </w:pPr>
      <w:r w:rsidRPr="00BE536E">
        <w:rPr>
          <w:rFonts w:ascii="Verdana" w:hAnsi="Verdana"/>
          <w:sz w:val="20"/>
          <w:szCs w:val="20"/>
        </w:rPr>
        <w:t>Тикер:</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b/>
          <w:sz w:val="20"/>
          <w:szCs w:val="20"/>
        </w:rPr>
        <w:t>RUCBITRBBB</w:t>
      </w:r>
    </w:p>
    <w:p w14:paraId="461860D9"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Описание индекса:</w:t>
      </w:r>
      <w:r w:rsidRPr="00BE536E">
        <w:rPr>
          <w:rFonts w:ascii="Verdana" w:hAnsi="Verdana"/>
          <w:sz w:val="20"/>
          <w:szCs w:val="20"/>
        </w:rPr>
        <w:tab/>
      </w:r>
      <w:r w:rsidRPr="00BE536E">
        <w:rPr>
          <w:rFonts w:ascii="Verdana" w:hAnsi="Verdana"/>
          <w:sz w:val="20"/>
          <w:szCs w:val="20"/>
        </w:rPr>
        <w:tab/>
        <w:t>https://www.moex.com/ru/index/RUCBITRBBB</w:t>
      </w:r>
    </w:p>
    <w:p w14:paraId="3048323C"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Архив значений:</w:t>
      </w:r>
      <w:r w:rsidRPr="00BE536E">
        <w:rPr>
          <w:rFonts w:ascii="Verdana" w:hAnsi="Verdana"/>
          <w:sz w:val="20"/>
          <w:szCs w:val="20"/>
        </w:rPr>
        <w:tab/>
      </w:r>
      <w:r w:rsidRPr="00BE536E">
        <w:rPr>
          <w:rFonts w:ascii="Verdana" w:hAnsi="Verdana"/>
          <w:sz w:val="20"/>
          <w:szCs w:val="20"/>
        </w:rPr>
        <w:tab/>
        <w:t>https://www.moex.com/ru/index/RUCBITRBBB/archive/</w:t>
      </w:r>
    </w:p>
    <w:p w14:paraId="5CBBF39F" w14:textId="77777777" w:rsidR="00BA43DC" w:rsidRPr="00BE536E" w:rsidRDefault="00BA43DC" w:rsidP="00D05311">
      <w:pPr>
        <w:numPr>
          <w:ilvl w:val="0"/>
          <w:numId w:val="110"/>
        </w:numPr>
        <w:spacing w:after="0" w:line="312" w:lineRule="auto"/>
        <w:contextualSpacing/>
        <w:jc w:val="both"/>
        <w:rPr>
          <w:rFonts w:ascii="Verdana" w:hAnsi="Verdana"/>
          <w:sz w:val="20"/>
          <w:szCs w:val="20"/>
        </w:rPr>
      </w:pPr>
      <w:r w:rsidRPr="00BE536E">
        <w:rPr>
          <w:rFonts w:ascii="Verdana" w:hAnsi="Verdana"/>
          <w:sz w:val="20"/>
          <w:szCs w:val="20"/>
        </w:rPr>
        <w:t>Индекс корпоративных облигаций (&gt; 1 года, BB- ≤ рейтинг &lt; BBB-)</w:t>
      </w:r>
    </w:p>
    <w:p w14:paraId="317E1412" w14:textId="77777777" w:rsidR="00BA43DC" w:rsidRPr="00BE536E" w:rsidRDefault="00BA43DC" w:rsidP="00BA43DC">
      <w:pPr>
        <w:spacing w:line="312" w:lineRule="auto"/>
        <w:ind w:firstLine="690"/>
        <w:contextualSpacing/>
        <w:jc w:val="both"/>
        <w:rPr>
          <w:rFonts w:ascii="Verdana" w:hAnsi="Verdana"/>
          <w:sz w:val="20"/>
          <w:szCs w:val="20"/>
        </w:rPr>
      </w:pPr>
      <w:r w:rsidRPr="00BE536E">
        <w:rPr>
          <w:rFonts w:ascii="Verdana" w:hAnsi="Verdana"/>
          <w:sz w:val="20"/>
          <w:szCs w:val="20"/>
        </w:rPr>
        <w:lastRenderedPageBreak/>
        <w:t>Тикер:</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b/>
          <w:sz w:val="20"/>
          <w:szCs w:val="20"/>
        </w:rPr>
        <w:t>RUCBITRBB</w:t>
      </w:r>
    </w:p>
    <w:p w14:paraId="4CD4D34D"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Описание индекса:</w:t>
      </w:r>
      <w:r w:rsidRPr="00BE536E">
        <w:rPr>
          <w:rFonts w:ascii="Verdana" w:hAnsi="Verdana"/>
          <w:sz w:val="20"/>
          <w:szCs w:val="20"/>
        </w:rPr>
        <w:tab/>
      </w:r>
      <w:r w:rsidRPr="00BE536E">
        <w:rPr>
          <w:rFonts w:ascii="Verdana" w:hAnsi="Verdana"/>
          <w:sz w:val="20"/>
          <w:szCs w:val="20"/>
        </w:rPr>
        <w:tab/>
        <w:t>https://www.moex.com/ru/index/RUCBITRBB</w:t>
      </w:r>
    </w:p>
    <w:p w14:paraId="1BBB05DE"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Архив значений:</w:t>
      </w:r>
      <w:r w:rsidRPr="00BE536E">
        <w:rPr>
          <w:rFonts w:ascii="Verdana" w:hAnsi="Verdana"/>
          <w:sz w:val="20"/>
          <w:szCs w:val="20"/>
        </w:rPr>
        <w:tab/>
      </w:r>
      <w:r w:rsidRPr="00BE536E">
        <w:rPr>
          <w:rFonts w:ascii="Verdana" w:hAnsi="Verdana"/>
          <w:sz w:val="20"/>
          <w:szCs w:val="20"/>
        </w:rPr>
        <w:tab/>
        <w:t>https://www.moex.com/ru/index/RUCBITRBB/archive</w:t>
      </w:r>
    </w:p>
    <w:p w14:paraId="70DCE7C4" w14:textId="77777777" w:rsidR="00BA43DC" w:rsidRPr="00BE536E" w:rsidRDefault="00BA43DC" w:rsidP="00D05311">
      <w:pPr>
        <w:numPr>
          <w:ilvl w:val="0"/>
          <w:numId w:val="110"/>
        </w:numPr>
        <w:spacing w:after="0" w:line="312" w:lineRule="auto"/>
        <w:contextualSpacing/>
        <w:jc w:val="both"/>
        <w:rPr>
          <w:rFonts w:ascii="Verdana" w:hAnsi="Verdana"/>
          <w:sz w:val="20"/>
          <w:szCs w:val="20"/>
        </w:rPr>
      </w:pPr>
      <w:r w:rsidRPr="00BE536E">
        <w:rPr>
          <w:rFonts w:ascii="Verdana" w:hAnsi="Verdana"/>
          <w:sz w:val="20"/>
          <w:szCs w:val="20"/>
        </w:rPr>
        <w:t xml:space="preserve">Индекс корпоративных облигаций (&gt; 1 года, B- ≤ рейтинг &lt; BB-) </w:t>
      </w:r>
    </w:p>
    <w:p w14:paraId="65B44D67" w14:textId="77777777" w:rsidR="00BA43DC" w:rsidRPr="00BE536E" w:rsidRDefault="00BA43DC" w:rsidP="00BA43DC">
      <w:pPr>
        <w:spacing w:line="312" w:lineRule="auto"/>
        <w:ind w:firstLine="690"/>
        <w:contextualSpacing/>
        <w:jc w:val="both"/>
        <w:rPr>
          <w:rFonts w:ascii="Verdana" w:hAnsi="Verdana"/>
          <w:sz w:val="20"/>
          <w:szCs w:val="20"/>
        </w:rPr>
      </w:pPr>
      <w:r w:rsidRPr="00BE536E">
        <w:rPr>
          <w:rFonts w:ascii="Verdana" w:hAnsi="Verdana"/>
          <w:sz w:val="20"/>
          <w:szCs w:val="20"/>
        </w:rPr>
        <w:t>Тикер:</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b/>
          <w:sz w:val="20"/>
          <w:szCs w:val="20"/>
        </w:rPr>
        <w:t>RUCBITRB</w:t>
      </w:r>
    </w:p>
    <w:p w14:paraId="510A445B"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Описание индекса:</w:t>
      </w:r>
      <w:r w:rsidRPr="00BE536E">
        <w:rPr>
          <w:rFonts w:ascii="Verdana" w:hAnsi="Verdana"/>
          <w:sz w:val="20"/>
          <w:szCs w:val="20"/>
        </w:rPr>
        <w:tab/>
      </w:r>
      <w:r w:rsidRPr="00BE536E">
        <w:rPr>
          <w:rFonts w:ascii="Verdana" w:hAnsi="Verdana"/>
          <w:sz w:val="20"/>
          <w:szCs w:val="20"/>
        </w:rPr>
        <w:tab/>
        <w:t>https://www.moex.com/ru/index/RUCBITRB</w:t>
      </w:r>
    </w:p>
    <w:p w14:paraId="11ED2C08"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Архив значений:</w:t>
      </w:r>
      <w:r w:rsidRPr="00BE536E">
        <w:rPr>
          <w:rFonts w:ascii="Verdana" w:hAnsi="Verdana"/>
          <w:sz w:val="20"/>
          <w:szCs w:val="20"/>
        </w:rPr>
        <w:tab/>
      </w:r>
      <w:r w:rsidRPr="00BE536E">
        <w:rPr>
          <w:rFonts w:ascii="Verdana" w:hAnsi="Verdana"/>
          <w:sz w:val="20"/>
          <w:szCs w:val="20"/>
        </w:rPr>
        <w:tab/>
        <w:t>https://www.moex.com/ru/index/RUCBITRB/archive/</w:t>
      </w:r>
    </w:p>
    <w:p w14:paraId="52BEE1A2" w14:textId="77777777" w:rsidR="00BA43DC" w:rsidRPr="00BE536E" w:rsidRDefault="00BA43DC" w:rsidP="00BA43DC">
      <w:pPr>
        <w:spacing w:after="0" w:line="312" w:lineRule="auto"/>
        <w:jc w:val="both"/>
        <w:rPr>
          <w:rFonts w:ascii="Verdana" w:hAnsi="Verdana"/>
          <w:sz w:val="20"/>
          <w:szCs w:val="20"/>
        </w:rPr>
      </w:pPr>
    </w:p>
    <w:p w14:paraId="7FE2DC90" w14:textId="77777777" w:rsidR="00BA43DC" w:rsidRPr="00BE536E" w:rsidRDefault="00BA43DC" w:rsidP="00BA43DC">
      <w:pPr>
        <w:spacing w:after="0" w:line="312" w:lineRule="auto"/>
        <w:ind w:firstLine="690"/>
        <w:jc w:val="both"/>
        <w:rPr>
          <w:rFonts w:ascii="Verdana" w:hAnsi="Verdana"/>
          <w:sz w:val="20"/>
          <w:szCs w:val="20"/>
        </w:rPr>
      </w:pPr>
      <w:r w:rsidRPr="00BE536E">
        <w:rPr>
          <w:rFonts w:ascii="Verdana" w:hAnsi="Verdana"/>
          <w:sz w:val="20"/>
          <w:szCs w:val="20"/>
        </w:rPr>
        <w:t xml:space="preserve">Расчет медианного кредитного спреда для </w:t>
      </w:r>
      <w:r w:rsidRPr="00BE536E">
        <w:rPr>
          <w:rFonts w:ascii="Verdana" w:hAnsi="Verdana"/>
          <w:sz w:val="20"/>
          <w:szCs w:val="20"/>
          <w:lang w:val="en-US"/>
        </w:rPr>
        <w:t>I</w:t>
      </w:r>
      <w:r w:rsidRPr="00BE536E">
        <w:rPr>
          <w:rFonts w:ascii="Verdana" w:hAnsi="Verdana"/>
          <w:sz w:val="20"/>
          <w:szCs w:val="20"/>
        </w:rPr>
        <w:t xml:space="preserve">, </w:t>
      </w:r>
      <w:r w:rsidRPr="00BE536E">
        <w:rPr>
          <w:rFonts w:ascii="Verdana" w:hAnsi="Verdana"/>
          <w:sz w:val="20"/>
          <w:szCs w:val="20"/>
          <w:lang w:val="en-US"/>
        </w:rPr>
        <w:t>II</w:t>
      </w:r>
      <w:r w:rsidRPr="00BE536E">
        <w:rPr>
          <w:rFonts w:ascii="Verdana" w:hAnsi="Verdana"/>
          <w:sz w:val="20"/>
          <w:szCs w:val="20"/>
        </w:rPr>
        <w:t xml:space="preserve">, </w:t>
      </w:r>
      <w:r w:rsidRPr="00BE536E">
        <w:rPr>
          <w:rFonts w:ascii="Verdana" w:hAnsi="Verdana"/>
          <w:sz w:val="20"/>
          <w:szCs w:val="20"/>
          <w:lang w:val="en-US"/>
        </w:rPr>
        <w:t>III</w:t>
      </w:r>
      <w:r w:rsidRPr="00BE536E">
        <w:rPr>
          <w:rFonts w:ascii="Verdana" w:hAnsi="Verdana"/>
          <w:sz w:val="20"/>
          <w:szCs w:val="20"/>
        </w:rPr>
        <w:t xml:space="preserve"> рейтинговых групп осуществляется в следующем порядке:</w:t>
      </w:r>
    </w:p>
    <w:p w14:paraId="3D3482EA" w14:textId="77777777" w:rsidR="00BA43DC" w:rsidRPr="00BE536E" w:rsidRDefault="00BA43DC" w:rsidP="00BA43DC">
      <w:pPr>
        <w:spacing w:line="312" w:lineRule="auto"/>
        <w:contextualSpacing/>
        <w:jc w:val="both"/>
        <w:rPr>
          <w:rFonts w:ascii="Verdana" w:hAnsi="Verdana"/>
          <w:b/>
          <w:sz w:val="20"/>
          <w:szCs w:val="20"/>
          <w:u w:val="single"/>
        </w:rPr>
      </w:pPr>
      <w:r w:rsidRPr="00BE536E">
        <w:rPr>
          <w:rFonts w:ascii="Verdana" w:hAnsi="Verdana"/>
          <w:b/>
          <w:sz w:val="20"/>
          <w:szCs w:val="20"/>
          <w:u w:val="single"/>
        </w:rPr>
        <w:t xml:space="preserve">Рейтинговая группа </w:t>
      </w:r>
      <w:r w:rsidRPr="00BE536E">
        <w:rPr>
          <w:rFonts w:ascii="Verdana" w:hAnsi="Verdana"/>
          <w:b/>
          <w:sz w:val="20"/>
          <w:szCs w:val="20"/>
          <w:u w:val="single"/>
          <w:lang w:val="en-US"/>
        </w:rPr>
        <w:t>I</w:t>
      </w:r>
    </w:p>
    <w:p w14:paraId="228F1590" w14:textId="77777777" w:rsidR="00BA43DC" w:rsidRPr="00BE536E" w:rsidRDefault="00BA43DC" w:rsidP="00BA43DC">
      <w:pPr>
        <w:spacing w:after="0" w:line="312" w:lineRule="auto"/>
        <w:ind w:firstLine="708"/>
        <w:jc w:val="both"/>
        <w:rPr>
          <w:rFonts w:ascii="Verdana" w:hAnsi="Verdana"/>
          <w:b/>
          <w:sz w:val="20"/>
          <w:szCs w:val="20"/>
        </w:rPr>
      </w:pPr>
      <w:r w:rsidRPr="00BE536E">
        <w:rPr>
          <w:rFonts w:ascii="Verdana" w:hAnsi="Verdana"/>
          <w:sz w:val="20"/>
          <w:szCs w:val="20"/>
        </w:rPr>
        <w:t xml:space="preserve">Рассчитывается кредитный спред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w:t>
      </w:r>
      <w:r w:rsidRPr="00BE536E">
        <w:rPr>
          <w:rFonts w:ascii="Verdana" w:hAnsi="Verdana"/>
          <w:sz w:val="20"/>
          <w:szCs w:val="20"/>
        </w:rPr>
        <w:t xml:space="preserve"> за каждый из 20 последних торговых дней (13):</w:t>
      </w:r>
      <w:r w:rsidRPr="00BE536E">
        <w:rPr>
          <w:rFonts w:ascii="Verdana" w:hAnsi="Verdana"/>
          <w:b/>
          <w:sz w:val="20"/>
          <w:szCs w:val="20"/>
        </w:rPr>
        <w:t xml:space="preserve"> </w:t>
      </w:r>
    </w:p>
    <w:p w14:paraId="663B04E2" w14:textId="77777777" w:rsidR="00BA43DC" w:rsidRPr="00BE536E" w:rsidRDefault="00A3154D"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vertAlign w:val="subscript"/>
                      <w:lang w:val="en-US"/>
                    </w:rPr>
                    <m:t>RUCBITRBBB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vertAlign w:val="subscript"/>
                      <w:lang w:val="en-US"/>
                    </w:rPr>
                    <m:t>RUCBITRBBB</m:t>
                  </m:r>
                </m:sub>
              </m:sSub>
            </m:e>
          </m:d>
          <m:r>
            <w:rPr>
              <w:rFonts w:ascii="Cambria Math" w:hAnsi="Cambria Math"/>
              <w:sz w:val="20"/>
              <w:szCs w:val="20"/>
              <w:lang w:val="en-US"/>
            </w:rPr>
            <m:t>×100</m:t>
          </m:r>
          <m:r>
            <w:rPr>
              <w:rFonts w:ascii="Cambria Math" w:hAnsi="Cambria Math"/>
              <w:sz w:val="20"/>
              <w:szCs w:val="20"/>
            </w:rPr>
            <m:t>,                                     (13)</m:t>
          </m:r>
        </m:oMath>
      </m:oMathPara>
    </w:p>
    <w:p w14:paraId="01374E90"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41CD9279" w14:textId="77777777" w:rsidR="00BA43DC" w:rsidRPr="00BE536E" w:rsidRDefault="00A3154D"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Sub>
      </m:oMath>
      <w:r w:rsidR="00BA43DC" w:rsidRPr="00BE536E">
        <w:rPr>
          <w:rFonts w:ascii="Verdana" w:hAnsi="Verdana"/>
          <w:sz w:val="20"/>
          <w:szCs w:val="20"/>
        </w:rPr>
        <w:tab/>
      </w:r>
      <w:r w:rsidR="00BA43DC" w:rsidRPr="00BE536E">
        <w:rPr>
          <w:rFonts w:ascii="Verdana" w:hAnsi="Verdana"/>
          <w:sz w:val="20"/>
          <w:szCs w:val="20"/>
        </w:rPr>
        <w:tab/>
        <w:t>- значения спреда, рассчитанные в базисных пунктах;</w:t>
      </w:r>
    </w:p>
    <w:p w14:paraId="06791396" w14:textId="77777777" w:rsidR="00BA43DC" w:rsidRPr="00BE536E" w:rsidRDefault="00A3154D"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vertAlign w:val="subscript"/>
                <w:lang w:val="en-US"/>
              </w:rPr>
              <m:t>RUCBITRBBB</m:t>
            </m:r>
          </m:sub>
        </m:sSub>
      </m:oMath>
      <w:r w:rsidR="00BA43DC" w:rsidRPr="00BE536E">
        <w:rPr>
          <w:rFonts w:ascii="Verdana" w:hAnsi="Verdana"/>
          <w:sz w:val="20"/>
          <w:szCs w:val="20"/>
        </w:rPr>
        <w:tab/>
      </w:r>
      <w:r w:rsidR="00BA43DC" w:rsidRPr="00BE536E">
        <w:rPr>
          <w:rFonts w:ascii="Verdana" w:hAnsi="Verdana"/>
          <w:sz w:val="20"/>
          <w:szCs w:val="20"/>
        </w:rPr>
        <w:tab/>
        <w:t>- доходность индекса RUCBITRBBB, раскрытая Московской биржей;</w:t>
      </w:r>
    </w:p>
    <w:p w14:paraId="6DF12872" w14:textId="77777777" w:rsidR="00BA43DC" w:rsidRPr="00BE536E" w:rsidRDefault="00A3154D"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RUCBITRBBB</m:t>
            </m:r>
          </m:sub>
        </m:sSub>
      </m:oMath>
      <w:r w:rsidR="00BA43DC" w:rsidRPr="00BE536E">
        <w:rPr>
          <w:rFonts w:ascii="Verdana" w:eastAsiaTheme="minorEastAsia" w:hAnsi="Verdana"/>
          <w:sz w:val="20"/>
          <w:szCs w:val="20"/>
        </w:rPr>
        <w:tab/>
      </w:r>
      <w:r w:rsidR="00BA43DC" w:rsidRPr="00BE536E">
        <w:rPr>
          <w:rFonts w:ascii="Verdana" w:hAnsi="Verdana"/>
          <w:sz w:val="20"/>
          <w:szCs w:val="20"/>
        </w:rPr>
        <w:t>- значение Ставки КБД в точке, соответствующей дюрации индекса RUCBITRBBB раскрытой Московской биржей.</w:t>
      </w:r>
    </w:p>
    <w:p w14:paraId="57A99E24"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 xml:space="preserve">Рассчитывается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за последние 20 торговых дней (медиана из полученного ряда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w:t>
      </w:r>
      <w:r w:rsidRPr="00BE536E">
        <w:rPr>
          <w:rFonts w:ascii="Verdana" w:hAnsi="Verdana"/>
          <w:sz w:val="20"/>
          <w:szCs w:val="20"/>
        </w:rPr>
        <w:t xml:space="preserve">). </w:t>
      </w:r>
    </w:p>
    <w:p w14:paraId="2124A751"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При расчете медианного значения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b/>
          <w:sz w:val="20"/>
          <w:szCs w:val="20"/>
        </w:rPr>
        <w:t xml:space="preserve"> </w:t>
      </w:r>
      <w:r w:rsidRPr="00BE536E">
        <w:rPr>
          <w:rFonts w:ascii="Verdana" w:hAnsi="Verdana"/>
          <w:sz w:val="20"/>
          <w:szCs w:val="20"/>
        </w:rPr>
        <w:t xml:space="preserve">промежуточные округления значений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w:t>
      </w:r>
      <w:r w:rsidRPr="00BE536E">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округляется по правилам математического округления до целого значения базисных пунктов.</w:t>
      </w:r>
    </w:p>
    <w:p w14:paraId="163398E8" w14:textId="77777777" w:rsidR="00BA43DC" w:rsidRPr="00BE536E" w:rsidRDefault="00BA43DC" w:rsidP="00BA43DC">
      <w:pPr>
        <w:spacing w:line="312" w:lineRule="auto"/>
        <w:contextualSpacing/>
        <w:jc w:val="both"/>
        <w:rPr>
          <w:rFonts w:ascii="Verdana" w:hAnsi="Verdana"/>
          <w:b/>
          <w:sz w:val="20"/>
          <w:szCs w:val="20"/>
          <w:u w:val="single"/>
        </w:rPr>
      </w:pPr>
    </w:p>
    <w:p w14:paraId="547DC4E3" w14:textId="77777777" w:rsidR="00BA43DC" w:rsidRPr="00BE536E" w:rsidRDefault="00BA43DC" w:rsidP="00BA43DC">
      <w:pPr>
        <w:spacing w:line="312" w:lineRule="auto"/>
        <w:contextualSpacing/>
        <w:jc w:val="both"/>
        <w:rPr>
          <w:rFonts w:ascii="Verdana" w:hAnsi="Verdana"/>
          <w:b/>
          <w:sz w:val="20"/>
          <w:szCs w:val="20"/>
          <w:u w:val="single"/>
        </w:rPr>
      </w:pPr>
      <w:r w:rsidRPr="00BE536E">
        <w:rPr>
          <w:rFonts w:ascii="Verdana" w:hAnsi="Verdana"/>
          <w:b/>
          <w:sz w:val="20"/>
          <w:szCs w:val="20"/>
          <w:u w:val="single"/>
        </w:rPr>
        <w:t xml:space="preserve">Рейтинговая группа </w:t>
      </w:r>
      <w:r w:rsidRPr="00BE536E">
        <w:rPr>
          <w:rFonts w:ascii="Verdana" w:hAnsi="Verdana"/>
          <w:b/>
          <w:sz w:val="20"/>
          <w:szCs w:val="20"/>
          <w:u w:val="single"/>
          <w:lang w:val="en-US"/>
        </w:rPr>
        <w:t>II</w:t>
      </w:r>
    </w:p>
    <w:p w14:paraId="77F712AD" w14:textId="77777777" w:rsidR="00BA43DC" w:rsidRPr="00BE536E" w:rsidRDefault="00BA43DC" w:rsidP="00BA43DC">
      <w:pPr>
        <w:spacing w:line="312" w:lineRule="auto"/>
        <w:ind w:firstLine="708"/>
        <w:contextualSpacing/>
        <w:jc w:val="both"/>
        <w:rPr>
          <w:rFonts w:ascii="Verdana" w:hAnsi="Verdana"/>
          <w:b/>
          <w:sz w:val="20"/>
          <w:szCs w:val="20"/>
        </w:rPr>
      </w:pPr>
      <w:r w:rsidRPr="00BE536E">
        <w:rPr>
          <w:rFonts w:ascii="Verdana" w:hAnsi="Verdana"/>
          <w:sz w:val="20"/>
          <w:szCs w:val="20"/>
        </w:rPr>
        <w:t xml:space="preserve">Рассчитывается кредитный спред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w:t>
      </w:r>
      <w:r w:rsidRPr="00BE536E">
        <w:rPr>
          <w:rFonts w:ascii="Verdana" w:hAnsi="Verdana"/>
          <w:sz w:val="20"/>
          <w:szCs w:val="20"/>
        </w:rPr>
        <w:t xml:space="preserve"> за каждый из 20 последних торговых дней (14):</w:t>
      </w:r>
      <w:r w:rsidRPr="00BE536E">
        <w:rPr>
          <w:rFonts w:ascii="Verdana" w:hAnsi="Verdana"/>
          <w:b/>
          <w:sz w:val="20"/>
          <w:szCs w:val="20"/>
        </w:rPr>
        <w:t xml:space="preserve"> </w:t>
      </w:r>
    </w:p>
    <w:p w14:paraId="5C946B5C" w14:textId="77777777" w:rsidR="00BA43DC" w:rsidRPr="00BE536E" w:rsidRDefault="00A3154D"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m:t>
              </m:r>
              <m:r>
                <m:rPr>
                  <m:sty m:val="p"/>
                </m:rPr>
                <w:rPr>
                  <w:rFonts w:ascii="Cambria Math" w:hAnsi="Cambria Math"/>
                  <w:sz w:val="20"/>
                  <w:szCs w:val="20"/>
                </w:rPr>
                <m:t>I</m:t>
              </m:r>
              <m:r>
                <m:rPr>
                  <m:sty m:val="p"/>
                </m:rPr>
                <w:rPr>
                  <w:rFonts w:ascii="Cambria Math" w:hAnsi="Cambria Math"/>
                  <w:sz w:val="20"/>
                  <w:szCs w:val="20"/>
                  <w:lang w:val="en-US"/>
                </w:rPr>
                <m:t>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rPr>
                    <m:t>RUCBITRBB</m:t>
                  </m:r>
                </m:sub>
              </m:sSub>
            </m:e>
          </m:d>
          <m:r>
            <w:rPr>
              <w:rFonts w:ascii="Cambria Math" w:hAnsi="Cambria Math"/>
              <w:sz w:val="20"/>
              <w:szCs w:val="20"/>
              <w:lang w:val="en-US"/>
            </w:rPr>
            <m:t>×100</m:t>
          </m:r>
          <m:r>
            <w:rPr>
              <w:rFonts w:ascii="Cambria Math" w:hAnsi="Cambria Math"/>
              <w:sz w:val="20"/>
              <w:szCs w:val="20"/>
            </w:rPr>
            <m:t>,                                     (14)</m:t>
          </m:r>
        </m:oMath>
      </m:oMathPara>
    </w:p>
    <w:p w14:paraId="44E793A5"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0317F803" w14:textId="77777777" w:rsidR="00BA43DC" w:rsidRPr="00BE536E" w:rsidRDefault="00A3154D"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II</m:t>
            </m:r>
          </m:sub>
        </m:sSub>
      </m:oMath>
      <w:r w:rsidR="00BA43DC" w:rsidRPr="00BE536E">
        <w:rPr>
          <w:rFonts w:ascii="Verdana" w:hAnsi="Verdana"/>
          <w:sz w:val="20"/>
          <w:szCs w:val="20"/>
        </w:rPr>
        <w:tab/>
      </w:r>
      <w:r w:rsidR="00BA43DC" w:rsidRPr="00BE536E">
        <w:rPr>
          <w:rFonts w:ascii="Verdana" w:hAnsi="Verdana"/>
          <w:sz w:val="20"/>
          <w:szCs w:val="20"/>
        </w:rPr>
        <w:tab/>
        <w:t>- значения спреда, рассчитанные в базисных пунктах;</w:t>
      </w:r>
    </w:p>
    <w:p w14:paraId="4992411D" w14:textId="77777777" w:rsidR="00BA43DC" w:rsidRPr="00BE536E" w:rsidRDefault="00A3154D"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RUCBITRBB</m:t>
            </m:r>
          </m:sub>
        </m:sSub>
      </m:oMath>
      <w:r w:rsidR="00BA43DC" w:rsidRPr="00BE536E">
        <w:rPr>
          <w:rFonts w:ascii="Verdana" w:hAnsi="Verdana"/>
          <w:sz w:val="20"/>
          <w:szCs w:val="20"/>
        </w:rPr>
        <w:tab/>
      </w:r>
      <w:r w:rsidR="00BA43DC" w:rsidRPr="00BE536E">
        <w:rPr>
          <w:rFonts w:ascii="Verdana" w:hAnsi="Verdana"/>
          <w:sz w:val="20"/>
          <w:szCs w:val="20"/>
        </w:rPr>
        <w:tab/>
        <w:t>- доходность индекса RUCBITRBB, раскрытая Московской биржей;</w:t>
      </w:r>
    </w:p>
    <w:p w14:paraId="0AD8CDF5" w14:textId="77777777" w:rsidR="00BA43DC" w:rsidRPr="00BE536E" w:rsidRDefault="00A3154D"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RUCBITRBB</m:t>
            </m:r>
          </m:sub>
        </m:sSub>
      </m:oMath>
      <w:r w:rsidR="00BA43DC" w:rsidRPr="00BE536E">
        <w:rPr>
          <w:rFonts w:ascii="Verdana" w:eastAsiaTheme="minorEastAsia" w:hAnsi="Verdana"/>
          <w:sz w:val="20"/>
          <w:szCs w:val="20"/>
        </w:rPr>
        <w:tab/>
      </w:r>
      <w:r w:rsidR="00BA43DC" w:rsidRPr="00BE536E">
        <w:rPr>
          <w:rFonts w:ascii="Verdana" w:hAnsi="Verdana"/>
          <w:sz w:val="20"/>
          <w:szCs w:val="20"/>
        </w:rPr>
        <w:t>- значение Ставки КБД в точке, соответствующей дюрации индекса RUCBITRBB раскрытой Московской биржей.</w:t>
      </w:r>
    </w:p>
    <w:p w14:paraId="3A61E102"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 xml:space="preserve">Рассчитывается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за последние 20 торговых дней (медиана из полученного ряда</w:t>
      </w:r>
      <w:r w:rsidRPr="00BE536E">
        <w:rPr>
          <w:rFonts w:ascii="Verdana" w:hAnsi="Verdana"/>
          <w:b/>
          <w:sz w:val="20"/>
          <w:szCs w:val="20"/>
        </w:rPr>
        <w:t xml:space="preserve">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w:t>
      </w:r>
      <w:r w:rsidRPr="00BE536E">
        <w:rPr>
          <w:rFonts w:ascii="Verdana" w:hAnsi="Verdana"/>
          <w:sz w:val="20"/>
          <w:szCs w:val="20"/>
        </w:rPr>
        <w:t xml:space="preserve">). </w:t>
      </w:r>
    </w:p>
    <w:p w14:paraId="5801DB9F"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При расчете значения медианного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промежуточные округления значений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w:t>
      </w:r>
      <w:r w:rsidRPr="00BE536E">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округляется по правилам математического округления до целого значения базисных пунктов.</w:t>
      </w:r>
    </w:p>
    <w:p w14:paraId="5A53510E" w14:textId="77777777" w:rsidR="00BA43DC" w:rsidRPr="00BE536E" w:rsidRDefault="00BA43DC" w:rsidP="00BA43DC">
      <w:pPr>
        <w:spacing w:after="0" w:line="312" w:lineRule="auto"/>
        <w:jc w:val="both"/>
        <w:rPr>
          <w:rFonts w:ascii="Verdana" w:hAnsi="Verdana"/>
          <w:b/>
          <w:sz w:val="20"/>
          <w:szCs w:val="20"/>
          <w:u w:val="single"/>
        </w:rPr>
      </w:pPr>
    </w:p>
    <w:p w14:paraId="49596E50" w14:textId="77777777" w:rsidR="00BA43DC" w:rsidRPr="00BE536E" w:rsidRDefault="00BA43DC" w:rsidP="00BA43DC">
      <w:pPr>
        <w:spacing w:after="0" w:line="312" w:lineRule="auto"/>
        <w:jc w:val="both"/>
        <w:rPr>
          <w:rFonts w:ascii="Verdana" w:hAnsi="Verdana"/>
          <w:b/>
          <w:sz w:val="20"/>
          <w:szCs w:val="20"/>
          <w:u w:val="single"/>
        </w:rPr>
      </w:pPr>
      <w:r w:rsidRPr="00BE536E">
        <w:rPr>
          <w:rFonts w:ascii="Verdana" w:hAnsi="Verdana"/>
          <w:b/>
          <w:sz w:val="20"/>
          <w:szCs w:val="20"/>
          <w:u w:val="single"/>
        </w:rPr>
        <w:t xml:space="preserve">Рейтинговая группа </w:t>
      </w:r>
      <w:r w:rsidRPr="00BE536E">
        <w:rPr>
          <w:rFonts w:ascii="Verdana" w:hAnsi="Verdana"/>
          <w:b/>
          <w:sz w:val="20"/>
          <w:szCs w:val="20"/>
          <w:u w:val="single"/>
          <w:lang w:val="en-US"/>
        </w:rPr>
        <w:t>III</w:t>
      </w:r>
    </w:p>
    <w:p w14:paraId="06E9BFF1"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lastRenderedPageBreak/>
        <w:t xml:space="preserve">Рассчитывается кредитный спред </w:t>
      </w:r>
      <w:r w:rsidRPr="00BE536E">
        <w:rPr>
          <w:rFonts w:ascii="Verdana" w:hAnsi="Verdana"/>
          <w:b/>
          <w:sz w:val="20"/>
          <w:szCs w:val="20"/>
          <w:lang w:val="en-US"/>
        </w:rPr>
        <w:t>S</w:t>
      </w:r>
      <w:r w:rsidRPr="00BE536E">
        <w:rPr>
          <w:rFonts w:ascii="Verdana" w:hAnsi="Verdana"/>
          <w:b/>
          <w:sz w:val="20"/>
          <w:szCs w:val="20"/>
          <w:vertAlign w:val="subscript"/>
        </w:rPr>
        <w:t>РГШ</w:t>
      </w:r>
      <w:r w:rsidRPr="00BE536E">
        <w:rPr>
          <w:rFonts w:ascii="Verdana" w:hAnsi="Verdana"/>
          <w:sz w:val="20"/>
          <w:szCs w:val="20"/>
        </w:rPr>
        <w:t xml:space="preserve"> за каждый из 20 последних торговых дней (15):</w:t>
      </w:r>
    </w:p>
    <w:p w14:paraId="507541F6" w14:textId="77777777" w:rsidR="00BA43DC" w:rsidRPr="00BE536E" w:rsidRDefault="00A3154D"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m:t>
              </m:r>
              <m:r>
                <m:rPr>
                  <m:sty m:val="p"/>
                </m:rPr>
                <w:rPr>
                  <w:rFonts w:ascii="Cambria Math" w:hAnsi="Cambria Math"/>
                  <w:sz w:val="20"/>
                  <w:szCs w:val="20"/>
                </w:rPr>
                <m:t>II</m:t>
              </m:r>
              <m:r>
                <m:rPr>
                  <m:sty m:val="p"/>
                </m:rPr>
                <w:rPr>
                  <w:rFonts w:ascii="Cambria Math" w:hAnsi="Cambria Math"/>
                  <w:sz w:val="20"/>
                  <w:szCs w:val="20"/>
                  <w:lang w:val="en-US"/>
                </w:rPr>
                <m:t>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rPr>
                    <m:t>RUCBITRB</m:t>
                  </m:r>
                </m:sub>
              </m:sSub>
            </m:e>
          </m:d>
          <m:r>
            <w:rPr>
              <w:rFonts w:ascii="Cambria Math" w:hAnsi="Cambria Math"/>
              <w:sz w:val="20"/>
              <w:szCs w:val="20"/>
              <w:lang w:val="en-US"/>
            </w:rPr>
            <m:t>×100</m:t>
          </m:r>
          <m:r>
            <w:rPr>
              <w:rFonts w:ascii="Cambria Math" w:hAnsi="Cambria Math"/>
              <w:sz w:val="20"/>
              <w:szCs w:val="20"/>
            </w:rPr>
            <m:t>,                                     (15)</m:t>
          </m:r>
        </m:oMath>
      </m:oMathPara>
    </w:p>
    <w:p w14:paraId="3D706A29"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1CA58109" w14:textId="77777777" w:rsidR="00BA43DC" w:rsidRPr="00BE536E" w:rsidRDefault="00A3154D"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III</m:t>
            </m:r>
          </m:sub>
        </m:sSub>
      </m:oMath>
      <w:r w:rsidR="00BA43DC" w:rsidRPr="00BE536E">
        <w:rPr>
          <w:rFonts w:ascii="Verdana" w:hAnsi="Verdana"/>
          <w:sz w:val="20"/>
          <w:szCs w:val="20"/>
        </w:rPr>
        <w:tab/>
      </w:r>
      <w:r w:rsidR="00BA43DC" w:rsidRPr="00BE536E">
        <w:rPr>
          <w:rFonts w:ascii="Verdana" w:hAnsi="Verdana"/>
          <w:sz w:val="20"/>
          <w:szCs w:val="20"/>
        </w:rPr>
        <w:tab/>
        <w:t>- значения спреда, рассчитанные в базисных пунктах;</w:t>
      </w:r>
    </w:p>
    <w:p w14:paraId="1453FD74" w14:textId="77777777" w:rsidR="00BA43DC" w:rsidRPr="00BE536E" w:rsidRDefault="00A3154D"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m:t>
            </m:r>
          </m:sub>
        </m:sSub>
      </m:oMath>
      <w:r w:rsidR="00BA43DC" w:rsidRPr="00BE536E">
        <w:rPr>
          <w:rFonts w:ascii="Verdana" w:hAnsi="Verdana"/>
          <w:sz w:val="20"/>
          <w:szCs w:val="20"/>
        </w:rPr>
        <w:tab/>
      </w:r>
      <w:r w:rsidR="00BA43DC" w:rsidRPr="00BE536E">
        <w:rPr>
          <w:rFonts w:ascii="Verdana" w:hAnsi="Verdana"/>
          <w:sz w:val="20"/>
          <w:szCs w:val="20"/>
        </w:rPr>
        <w:tab/>
        <w:t>- доходность индекса RUCBITRB, раскрытая Московской биржей;</w:t>
      </w:r>
    </w:p>
    <w:p w14:paraId="752F140B" w14:textId="77777777" w:rsidR="00BA43DC" w:rsidRPr="00BE536E" w:rsidRDefault="00A3154D"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m:t>
            </m:r>
          </m:sub>
        </m:sSub>
      </m:oMath>
      <w:r w:rsidR="00BA43DC" w:rsidRPr="00BE536E">
        <w:rPr>
          <w:rFonts w:ascii="Verdana" w:eastAsiaTheme="minorEastAsia" w:hAnsi="Verdana"/>
          <w:sz w:val="20"/>
          <w:szCs w:val="20"/>
        </w:rPr>
        <w:tab/>
      </w:r>
      <w:r w:rsidR="00BA43DC" w:rsidRPr="00BE536E">
        <w:rPr>
          <w:rFonts w:ascii="Verdana" w:hAnsi="Verdana"/>
          <w:sz w:val="20"/>
          <w:szCs w:val="20"/>
        </w:rPr>
        <w:t>- значение Ставки КБД в точке, соответствующей дюрации индекса RUCBITRB раскрытой Московской биржей.</w:t>
      </w:r>
    </w:p>
    <w:p w14:paraId="2A20E016"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Рассчитывается медианное значение кредитного спреда</w:t>
      </w:r>
      <w:r w:rsidRPr="00BE536E">
        <w:rPr>
          <w:rFonts w:ascii="Verdana" w:hAnsi="Verdana"/>
          <w:b/>
          <w:sz w:val="20"/>
          <w:szCs w:val="20"/>
        </w:rPr>
        <w:t xml:space="preserve">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за последние 20 торговых дней (медиана из полученного ряда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III</w:t>
      </w:r>
      <w:r w:rsidRPr="00BE536E">
        <w:rPr>
          <w:rFonts w:ascii="Verdana" w:hAnsi="Verdana"/>
          <w:sz w:val="20"/>
          <w:szCs w:val="20"/>
        </w:rPr>
        <w:t xml:space="preserve">). </w:t>
      </w:r>
    </w:p>
    <w:p w14:paraId="4A4169A8"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При расчете значения медианного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промежуточные округления значений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III</w:t>
      </w:r>
      <w:r w:rsidRPr="00BE536E">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округляется по правилам математического округления до целого значения базисных пунктов.</w:t>
      </w:r>
    </w:p>
    <w:p w14:paraId="4A7F3EAD" w14:textId="77777777" w:rsidR="00BA43DC" w:rsidRPr="00BE536E" w:rsidRDefault="00BA43DC" w:rsidP="00BA43DC">
      <w:pPr>
        <w:tabs>
          <w:tab w:val="left" w:pos="567"/>
        </w:tabs>
        <w:spacing w:after="0" w:line="312" w:lineRule="auto"/>
        <w:jc w:val="both"/>
        <w:rPr>
          <w:rFonts w:ascii="Verdana" w:hAnsi="Verdana"/>
          <w:b/>
          <w:sz w:val="20"/>
          <w:szCs w:val="20"/>
          <w:u w:val="single"/>
        </w:rPr>
      </w:pPr>
    </w:p>
    <w:p w14:paraId="0E945B3A" w14:textId="77777777" w:rsidR="00BA43DC" w:rsidRPr="00BE536E" w:rsidRDefault="00BA43DC" w:rsidP="00D05311">
      <w:pPr>
        <w:numPr>
          <w:ilvl w:val="0"/>
          <w:numId w:val="106"/>
        </w:numPr>
        <w:spacing w:after="0" w:line="312" w:lineRule="auto"/>
        <w:jc w:val="both"/>
        <w:rPr>
          <w:rFonts w:ascii="Verdana" w:hAnsi="Verdana"/>
          <w:b/>
          <w:sz w:val="20"/>
          <w:szCs w:val="20"/>
        </w:rPr>
      </w:pPr>
      <w:r w:rsidRPr="00BE536E">
        <w:rPr>
          <w:rFonts w:ascii="Verdana" w:hAnsi="Verdana"/>
          <w:b/>
          <w:sz w:val="20"/>
          <w:szCs w:val="20"/>
        </w:rPr>
        <w:t>Особенности определения кредитных спредов для IV рейтинговой группы</w:t>
      </w:r>
    </w:p>
    <w:p w14:paraId="6C7C7485"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 xml:space="preserve">С учетом наличия в данной группе долговых инструментов низкого кредитного качества, в т.ч. преддефолтных, а также долговых инструментов удовлетворительного кредитного качества, но без рейтинга, медианный кредитный спред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IV</m:t>
            </m:r>
          </m:sub>
          <m:sup>
            <m:r>
              <w:rPr>
                <w:rFonts w:ascii="Cambria Math" w:hAnsi="Cambria Math"/>
                <w:sz w:val="20"/>
                <w:szCs w:val="20"/>
              </w:rPr>
              <m:t>m</m:t>
            </m:r>
          </m:sup>
        </m:sSubSup>
      </m:oMath>
      <w:r w:rsidRPr="00BE536E">
        <w:rPr>
          <w:rFonts w:ascii="Verdana" w:hAnsi="Verdana"/>
          <w:sz w:val="20"/>
          <w:szCs w:val="20"/>
        </w:rPr>
        <w:t xml:space="preserve"> рассчитывается на индивидуальной основе для каждого долгового инструмента.</w:t>
      </w:r>
    </w:p>
    <w:p w14:paraId="7D8EF1D9"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Значение медианного кредитного спреда для долгового инструмента, включенного в IV рейтинговую группу, рассчитывается на каждую дату определения справедливой стоимости долгового инструмента в следующем порядке</w:t>
      </w:r>
      <w:r w:rsidRPr="00BE536E">
        <w:rPr>
          <w:rStyle w:val="ab"/>
          <w:rFonts w:ascii="Verdana" w:hAnsi="Verdana"/>
        </w:rPr>
        <w:footnoteReference w:id="40"/>
      </w:r>
      <w:r w:rsidRPr="00BE536E">
        <w:rPr>
          <w:rFonts w:ascii="Verdana" w:hAnsi="Verdana"/>
          <w:sz w:val="20"/>
          <w:szCs w:val="20"/>
        </w:rPr>
        <w:t>:</w:t>
      </w:r>
    </w:p>
    <w:p w14:paraId="6FE10272" w14:textId="77777777" w:rsidR="00BA43DC" w:rsidRPr="00BE536E" w:rsidRDefault="00BA43DC" w:rsidP="00BA43DC">
      <w:pPr>
        <w:tabs>
          <w:tab w:val="left" w:pos="567"/>
        </w:tabs>
        <w:spacing w:after="0" w:line="312" w:lineRule="auto"/>
        <w:ind w:left="708"/>
        <w:contextualSpacing/>
        <w:jc w:val="both"/>
        <w:rPr>
          <w:rFonts w:ascii="Verdana" w:hAnsi="Verdana"/>
          <w:sz w:val="20"/>
          <w:szCs w:val="20"/>
        </w:rPr>
      </w:pPr>
      <w:r w:rsidRPr="00BE536E">
        <w:rPr>
          <w:rFonts w:ascii="Verdana" w:hAnsi="Verdana"/>
          <w:sz w:val="20"/>
          <w:szCs w:val="20"/>
        </w:rPr>
        <w:t>не реже чем на последний день каждого квартала для долгового инструмента определяется значение кредитного спреда с применением одного из перечисленных ниже способов (далее – экспертное значение кредитного спреда). Одновременно для долгового инструмента определяется величина отклонения экспертного значения кредитного спреда от значения медианного кредитного спреда, рассчитанного для III рейтинговой группы на эту же дату (</w:t>
      </w:r>
      <m:oMath>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r>
              <m:rPr>
                <m:sty m:val="p"/>
              </m:rPr>
              <w:rPr>
                <w:rFonts w:ascii="Cambria Math" w:hAnsi="Cambria Math"/>
                <w:sz w:val="20"/>
                <w:szCs w:val="20"/>
              </w:rPr>
              <m:t>-</m:t>
            </m:r>
            <m:r>
              <m:rPr>
                <m:sty m:val="p"/>
              </m:rPr>
              <w:rPr>
                <w:rFonts w:ascii="Cambria Math" w:hAnsi="Cambria Math"/>
                <w:sz w:val="20"/>
                <w:szCs w:val="20"/>
                <w:lang w:val="en-US"/>
              </w:rPr>
              <m:t>IV</m:t>
            </m:r>
            <m:r>
              <m:rPr>
                <m:sty m:val="p"/>
              </m:rPr>
              <w:rPr>
                <w:rFonts w:ascii="Cambria Math" w:hAnsi="Cambria Math"/>
                <w:sz w:val="20"/>
                <w:szCs w:val="20"/>
              </w:rPr>
              <m:t>)</m:t>
            </m:r>
          </m:sub>
          <m:sup>
            <m:r>
              <w:rPr>
                <w:rFonts w:ascii="Cambria Math" w:hAnsi="Cambria Math"/>
                <w:sz w:val="20"/>
                <w:szCs w:val="20"/>
              </w:rPr>
              <m:t>m</m:t>
            </m:r>
          </m:sup>
        </m:sSubSup>
      </m:oMath>
      <w:r w:rsidRPr="00BE536E">
        <w:rPr>
          <w:rFonts w:ascii="Verdana" w:hAnsi="Verdana"/>
          <w:sz w:val="20"/>
          <w:szCs w:val="20"/>
        </w:rPr>
        <w:t>);</w:t>
      </w:r>
    </w:p>
    <w:p w14:paraId="2627CFEB" w14:textId="77777777" w:rsidR="00BA43DC" w:rsidRPr="00BE536E" w:rsidRDefault="00BA43DC" w:rsidP="00BA43DC">
      <w:pPr>
        <w:tabs>
          <w:tab w:val="left" w:pos="567"/>
        </w:tabs>
        <w:spacing w:after="0" w:line="312" w:lineRule="auto"/>
        <w:ind w:left="708"/>
        <w:contextualSpacing/>
        <w:jc w:val="both"/>
        <w:rPr>
          <w:rFonts w:ascii="Verdana" w:hAnsi="Verdana"/>
          <w:sz w:val="20"/>
          <w:szCs w:val="20"/>
        </w:rPr>
      </w:pPr>
      <w:r w:rsidRPr="00BE536E">
        <w:rPr>
          <w:rFonts w:ascii="Verdana" w:hAnsi="Verdana"/>
          <w:sz w:val="20"/>
          <w:szCs w:val="20"/>
        </w:rPr>
        <w:t xml:space="preserve">медианный кредитный спред </w:t>
      </w: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Pr="00BE536E">
        <w:rPr>
          <w:rFonts w:ascii="Verdana" w:hAnsi="Verdana"/>
          <w:sz w:val="20"/>
          <w:szCs w:val="20"/>
        </w:rPr>
        <w:t xml:space="preserve"> для долгового инструмента признается равным (в порядке убывания приоритета):</w:t>
      </w:r>
    </w:p>
    <w:p w14:paraId="606031A0" w14:textId="77777777" w:rsidR="00BA43DC" w:rsidRPr="00BE536E" w:rsidRDefault="00BA43DC" w:rsidP="00D05311">
      <w:pPr>
        <w:numPr>
          <w:ilvl w:val="0"/>
          <w:numId w:val="109"/>
        </w:numPr>
        <w:spacing w:after="0" w:line="312" w:lineRule="auto"/>
        <w:ind w:left="1134" w:hanging="425"/>
        <w:contextualSpacing/>
        <w:jc w:val="both"/>
        <w:rPr>
          <w:rFonts w:ascii="Verdana" w:hAnsi="Verdana"/>
          <w:sz w:val="20"/>
          <w:szCs w:val="20"/>
        </w:rPr>
      </w:pPr>
      <w:r w:rsidRPr="00BE536E">
        <w:rPr>
          <w:rFonts w:ascii="Verdana" w:hAnsi="Verdana"/>
          <w:sz w:val="20"/>
          <w:szCs w:val="20"/>
        </w:rPr>
        <w:t>экспертному значению кредитного спреда, если оно рассчитано на дату определения справедливой стоимости долгового инструмента;</w:t>
      </w:r>
    </w:p>
    <w:p w14:paraId="655CBD5C" w14:textId="77777777" w:rsidR="00BA43DC" w:rsidRPr="00BE536E" w:rsidRDefault="00BA43DC" w:rsidP="00D05311">
      <w:pPr>
        <w:numPr>
          <w:ilvl w:val="0"/>
          <w:numId w:val="109"/>
        </w:numPr>
        <w:spacing w:after="0" w:line="312" w:lineRule="auto"/>
        <w:ind w:left="1134" w:hanging="425"/>
        <w:contextualSpacing/>
        <w:jc w:val="both"/>
        <w:rPr>
          <w:rFonts w:ascii="Verdana" w:hAnsi="Verdana"/>
          <w:sz w:val="20"/>
          <w:szCs w:val="20"/>
        </w:rPr>
      </w:pPr>
      <w:r w:rsidRPr="00BE536E">
        <w:rPr>
          <w:rFonts w:ascii="Verdana" w:hAnsi="Verdana"/>
          <w:sz w:val="20"/>
          <w:szCs w:val="20"/>
        </w:rPr>
        <w:t xml:space="preserve">значению медианного кредитного спреда, рассчитанному для III рейтинговой группы на дату определения справедливой стоимости долгового инструмента и увеличенному на величину </w:t>
      </w:r>
      <m:oMath>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r>
              <m:rPr>
                <m:sty m:val="p"/>
              </m:rPr>
              <w:rPr>
                <w:rFonts w:ascii="Cambria Math" w:hAnsi="Cambria Math"/>
                <w:sz w:val="20"/>
                <w:szCs w:val="20"/>
              </w:rPr>
              <m:t>-</m:t>
            </m:r>
            <m:r>
              <m:rPr>
                <m:sty m:val="p"/>
              </m:rPr>
              <w:rPr>
                <w:rFonts w:ascii="Cambria Math" w:hAnsi="Cambria Math"/>
                <w:sz w:val="20"/>
                <w:szCs w:val="20"/>
                <w:lang w:val="en-US"/>
              </w:rPr>
              <m:t>IV</m:t>
            </m:r>
            <m:r>
              <m:rPr>
                <m:sty m:val="p"/>
              </m:rPr>
              <w:rPr>
                <w:rFonts w:ascii="Cambria Math" w:hAnsi="Cambria Math"/>
                <w:sz w:val="20"/>
                <w:szCs w:val="20"/>
              </w:rPr>
              <m:t>)</m:t>
            </m:r>
          </m:sub>
          <m:sup>
            <m:r>
              <w:rPr>
                <w:rFonts w:ascii="Cambria Math" w:hAnsi="Cambria Math"/>
                <w:sz w:val="20"/>
                <w:szCs w:val="20"/>
              </w:rPr>
              <m:t>m</m:t>
            </m:r>
          </m:sup>
        </m:sSubSup>
      </m:oMath>
      <w:r w:rsidRPr="00BE536E">
        <w:rPr>
          <w:rFonts w:ascii="Verdana" w:hAnsi="Verdana"/>
          <w:sz w:val="20"/>
          <w:szCs w:val="20"/>
        </w:rPr>
        <w:t xml:space="preserve">, рассчитанную на наиболее позднюю дату </w:t>
      </w:r>
      <w:r w:rsidRPr="00BE536E">
        <w:rPr>
          <w:rFonts w:ascii="Verdana" w:hAnsi="Verdana"/>
          <w:sz w:val="20"/>
          <w:szCs w:val="20"/>
        </w:rPr>
        <w:lastRenderedPageBreak/>
        <w:t>определения экспертного значения кредитного спреда для данного долгового инструмента</w:t>
      </w:r>
    </w:p>
    <w:p w14:paraId="31D96464"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В целях настоящего пункта в расчете значения медианного кредитного спреда для III рейтинговой группы не учитывается премия за субординированность в случае, если долговой инструмент является субординированным.</w:t>
      </w:r>
    </w:p>
    <w:p w14:paraId="7BED0E5E"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При расчете экспертного значения кредитного спреда максимально используются наблюдаемые рыночные данные. Ниже приведены возможные методы расчета экспертного значения кредитного спреда в порядке убывания приоритета по использованию рыночных данных:</w:t>
      </w:r>
    </w:p>
    <w:p w14:paraId="504D1546" w14:textId="77777777" w:rsidR="00BA43DC" w:rsidRPr="00BE536E" w:rsidRDefault="00BA43DC" w:rsidP="00D05311">
      <w:pPr>
        <w:numPr>
          <w:ilvl w:val="0"/>
          <w:numId w:val="111"/>
        </w:numPr>
        <w:tabs>
          <w:tab w:val="left" w:pos="1134"/>
        </w:tabs>
        <w:spacing w:after="0" w:line="312" w:lineRule="auto"/>
        <w:ind w:left="567" w:firstLine="0"/>
        <w:jc w:val="both"/>
        <w:rPr>
          <w:rFonts w:ascii="Verdana" w:hAnsi="Verdana"/>
          <w:sz w:val="20"/>
          <w:szCs w:val="20"/>
        </w:rPr>
      </w:pPr>
      <w:r w:rsidRPr="00BE536E">
        <w:rPr>
          <w:rFonts w:ascii="Verdana" w:hAnsi="Verdana"/>
          <w:sz w:val="20"/>
          <w:szCs w:val="20"/>
        </w:rPr>
        <w:t>Если у эмитента имеются в обращении другие выпуски долговых ценных бумаг, по которым существует активный рынок и имеются доступные цены уровня 1 иерархии справедливой стоимости, то медианное значение кредитного спреда рассчитывается по формуле (16) как среднее значение отклонений эффективной доходности к погашению (оферте) таких выпусков от Ставки КБД для средневзвешенного срока до погашения (оферты) соответствующего выпуска.</w:t>
      </w:r>
    </w:p>
    <w:p w14:paraId="3835F246" w14:textId="77777777" w:rsidR="00BA43DC" w:rsidRPr="00BE536E" w:rsidRDefault="00A3154D" w:rsidP="00BA43DC">
      <w:pPr>
        <w:tabs>
          <w:tab w:val="left" w:pos="567"/>
        </w:tabs>
        <w:spacing w:after="0" w:line="312" w:lineRule="auto"/>
        <w:jc w:val="both"/>
        <w:rPr>
          <w:rFonts w:ascii="Verdana" w:hAnsi="Verdana"/>
          <w:i/>
          <w:sz w:val="20"/>
          <w:szCs w:val="20"/>
        </w:rPr>
      </w:pPr>
      <m:oMathPara>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lang w:val="en-US"/>
                </w:rPr>
                <m:t>РГIV</m:t>
              </m:r>
            </m:sub>
            <m:sup>
              <m:r>
                <w:rPr>
                  <w:rFonts w:ascii="Cambria Math" w:hAnsi="Cambria Math"/>
                  <w:sz w:val="20"/>
                  <w:szCs w:val="20"/>
                </w:rPr>
                <m:t>m</m:t>
              </m:r>
            </m:sup>
          </m:sSubSup>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i</m:t>
                      </m:r>
                    </m:sub>
                  </m:sSub>
                </m:e>
              </m:d>
              <m:r>
                <w:rPr>
                  <w:rFonts w:ascii="Cambria Math" w:hAnsi="Cambria Math"/>
                  <w:sz w:val="20"/>
                  <w:szCs w:val="20"/>
                </w:rPr>
                <m:t>,4</m:t>
              </m:r>
            </m:e>
          </m:d>
          <m:r>
            <w:rPr>
              <w:rFonts w:ascii="Cambria Math" w:hAnsi="Cambria Math"/>
              <w:sz w:val="20"/>
              <w:szCs w:val="20"/>
              <w:lang w:val="en-US"/>
            </w:rPr>
            <m:t>×</m:t>
          </m:r>
          <m:r>
            <w:rPr>
              <w:rFonts w:ascii="Cambria Math" w:hAnsi="Cambria Math"/>
              <w:sz w:val="20"/>
              <w:szCs w:val="20"/>
            </w:rPr>
            <m:t>100,                                    (16)</m:t>
          </m:r>
        </m:oMath>
      </m:oMathPara>
    </w:p>
    <w:p w14:paraId="089C4B17"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6EF954CB" w14:textId="77777777" w:rsidR="00BA43DC" w:rsidRPr="00BE536E" w:rsidRDefault="00A3154D" w:rsidP="00BA43DC">
      <w:pPr>
        <w:spacing w:after="0" w:line="312" w:lineRule="auto"/>
        <w:ind w:left="3533" w:hanging="2115"/>
        <w:jc w:val="both"/>
        <w:rPr>
          <w:rFonts w:ascii="Verdana" w:hAnsi="Verdana"/>
          <w:sz w:val="20"/>
          <w:szCs w:val="20"/>
        </w:rPr>
      </w:pP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00BA43DC" w:rsidRPr="00BE536E">
        <w:rPr>
          <w:rFonts w:ascii="Verdana" w:hAnsi="Verdana"/>
          <w:sz w:val="20"/>
          <w:szCs w:val="20"/>
        </w:rPr>
        <w:tab/>
      </w:r>
      <w:r w:rsidR="00BA43DC" w:rsidRPr="00BE536E">
        <w:rPr>
          <w:rFonts w:ascii="Verdana" w:hAnsi="Verdana"/>
          <w:sz w:val="20"/>
          <w:szCs w:val="20"/>
        </w:rPr>
        <w:tab/>
        <w:t>- медианное значение кредитного спреда, рассчитанные в базисных пунктах;</w:t>
      </w:r>
    </w:p>
    <w:p w14:paraId="6E36ECB9" w14:textId="77777777" w:rsidR="00BA43DC" w:rsidRPr="00BE536E" w:rsidRDefault="00A3154D"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i</m:t>
            </m:r>
          </m:sub>
        </m:sSub>
      </m:oMath>
      <w:r w:rsidR="00BA43DC" w:rsidRPr="00BE536E">
        <w:rPr>
          <w:rFonts w:ascii="Verdana" w:hAnsi="Verdana"/>
          <w:sz w:val="20"/>
          <w:szCs w:val="20"/>
        </w:rPr>
        <w:tab/>
      </w:r>
      <w:r w:rsidR="00BA43DC" w:rsidRPr="00BE536E">
        <w:rPr>
          <w:rFonts w:ascii="Verdana" w:hAnsi="Verdana"/>
          <w:sz w:val="20"/>
          <w:szCs w:val="20"/>
        </w:rPr>
        <w:tab/>
        <w:t xml:space="preserve">- эффективная доходность к погашению (оферте) по средневзвешенной цене </w:t>
      </w:r>
      <w:r w:rsidR="00BA43DC" w:rsidRPr="00BE536E">
        <w:rPr>
          <w:rFonts w:ascii="Verdana" w:hAnsi="Verdana"/>
          <w:i/>
          <w:sz w:val="20"/>
          <w:szCs w:val="20"/>
          <w:lang w:val="en-US"/>
        </w:rPr>
        <w:t>i</w:t>
      </w:r>
      <w:r w:rsidR="00BA43DC" w:rsidRPr="00BE536E">
        <w:rPr>
          <w:rFonts w:ascii="Verdana" w:hAnsi="Verdana"/>
          <w:sz w:val="20"/>
          <w:szCs w:val="20"/>
        </w:rPr>
        <w:t>-го выпуска долговой ценной бумаги, раскрытая Московской биржей;</w:t>
      </w:r>
    </w:p>
    <w:p w14:paraId="4C247483" w14:textId="77777777" w:rsidR="00BA43DC" w:rsidRPr="00BE536E" w:rsidRDefault="00A3154D"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i</m:t>
            </m:r>
          </m:sub>
        </m:sSub>
      </m:oMath>
      <w:r w:rsidR="00BA43DC" w:rsidRPr="00BE536E">
        <w:rPr>
          <w:rFonts w:ascii="Verdana" w:hAnsi="Verdana"/>
          <w:sz w:val="20"/>
          <w:szCs w:val="20"/>
        </w:rPr>
        <w:tab/>
        <w:t xml:space="preserve">- значение Ставки КБД в точке, соответствующей средневзвешенному сроку до погашения (оферты) </w:t>
      </w:r>
      <w:r w:rsidR="00BA43DC" w:rsidRPr="00BE536E">
        <w:rPr>
          <w:rFonts w:ascii="Verdana" w:hAnsi="Verdana"/>
          <w:i/>
          <w:sz w:val="20"/>
          <w:szCs w:val="20"/>
          <w:lang w:val="en-US"/>
        </w:rPr>
        <w:t>i</w:t>
      </w:r>
      <w:r w:rsidR="00BA43DC" w:rsidRPr="00BE536E">
        <w:rPr>
          <w:rFonts w:ascii="Verdana" w:hAnsi="Verdana"/>
          <w:sz w:val="20"/>
          <w:szCs w:val="20"/>
        </w:rPr>
        <w:t>-го выпуска долговой ценной бумаги;</w:t>
      </w:r>
    </w:p>
    <w:p w14:paraId="2D969072"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lang w:val="en-US"/>
          </w:rPr>
          <m:t>i</m:t>
        </m:r>
      </m:oMath>
      <w:r w:rsidRPr="00BE536E">
        <w:rPr>
          <w:rFonts w:ascii="Verdana" w:hAnsi="Verdana"/>
          <w:sz w:val="20"/>
          <w:szCs w:val="20"/>
        </w:rPr>
        <w:tab/>
        <w:t>- идентификатор выпуска долговой ценной бумаги эмитента, отличного от оцениваемого.</w:t>
      </w:r>
    </w:p>
    <w:p w14:paraId="04302A80" w14:textId="77777777" w:rsidR="00BA43DC" w:rsidRPr="00BE536E" w:rsidRDefault="00BA43DC" w:rsidP="00D05311">
      <w:pPr>
        <w:numPr>
          <w:ilvl w:val="0"/>
          <w:numId w:val="111"/>
        </w:numPr>
        <w:tabs>
          <w:tab w:val="left" w:pos="1134"/>
        </w:tabs>
        <w:spacing w:after="0" w:line="312" w:lineRule="auto"/>
        <w:ind w:left="1134" w:hanging="567"/>
        <w:jc w:val="both"/>
        <w:rPr>
          <w:rFonts w:ascii="Verdana" w:hAnsi="Verdana"/>
          <w:sz w:val="20"/>
          <w:szCs w:val="20"/>
        </w:rPr>
      </w:pPr>
      <w:r w:rsidRPr="00BE536E">
        <w:rPr>
          <w:rFonts w:ascii="Verdana" w:hAnsi="Verdana"/>
          <w:sz w:val="20"/>
          <w:szCs w:val="20"/>
        </w:rPr>
        <w:t>Если выпуску долговой ценной бумаги или эмитенту /поручителю этого выпуска присвоен рейтинг международным или национальным рейтинговым агентством, указанным в Таблице 1, то медианное значение кредитного спреда рассчитывается по формуле (17) как среднее значение отклонений эффективной доходности к погашению (оферте) выпусков долговых ценных бумаг с таким же или близким кредитным рейтингом, рынок по которым признается активным и имеются наблюдаемые рыночные цены уровня 1, от Ставки КБД для средневзвешенного срока до погашения (оферты) соответствующего выпуска.</w:t>
      </w:r>
    </w:p>
    <w:p w14:paraId="46DB361C" w14:textId="77777777" w:rsidR="00BA43DC" w:rsidRPr="00BE536E" w:rsidRDefault="00BA43DC" w:rsidP="00BA43DC">
      <w:pPr>
        <w:tabs>
          <w:tab w:val="left" w:pos="1134"/>
        </w:tabs>
        <w:spacing w:after="0" w:line="312" w:lineRule="auto"/>
        <w:ind w:left="1134"/>
        <w:jc w:val="both"/>
        <w:rPr>
          <w:rFonts w:ascii="Verdana" w:hAnsi="Verdana"/>
          <w:sz w:val="20"/>
          <w:szCs w:val="20"/>
        </w:rPr>
      </w:pPr>
      <w:r w:rsidRPr="00BE536E">
        <w:rPr>
          <w:rFonts w:ascii="Verdana" w:hAnsi="Verdana"/>
          <w:sz w:val="20"/>
          <w:szCs w:val="20"/>
        </w:rPr>
        <w:t>Близким кредитным рейтингом признается кредитный рейтинг, который отклоняется от кредитного рейтинга эмитента/выпуска/поручителя по выпуску на +/- одну кредитную ступень.</w:t>
      </w:r>
    </w:p>
    <w:p w14:paraId="62B7A032" w14:textId="77777777" w:rsidR="00BA43DC" w:rsidRPr="00BE536E" w:rsidRDefault="00A3154D" w:rsidP="00BA43DC">
      <w:pPr>
        <w:tabs>
          <w:tab w:val="left" w:pos="567"/>
        </w:tabs>
        <w:spacing w:after="0" w:line="312" w:lineRule="auto"/>
        <w:jc w:val="both"/>
        <w:rPr>
          <w:rFonts w:ascii="Verdana" w:hAnsi="Verdana"/>
          <w:i/>
          <w:sz w:val="20"/>
          <w:szCs w:val="20"/>
        </w:rPr>
      </w:pPr>
      <m:oMathPara>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lang w:val="en-US"/>
                </w:rPr>
                <m:t>РГIV</m:t>
              </m:r>
            </m:sub>
            <m:sup>
              <m:r>
                <w:rPr>
                  <w:rFonts w:ascii="Cambria Math" w:hAnsi="Cambria Math"/>
                  <w:sz w:val="20"/>
                  <w:szCs w:val="20"/>
                </w:rPr>
                <m:t>m</m:t>
              </m:r>
            </m:sup>
          </m:sSubSup>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j</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j</m:t>
                      </m:r>
                    </m:sub>
                  </m:sSub>
                </m:e>
              </m:d>
              <m:r>
                <w:rPr>
                  <w:rFonts w:ascii="Cambria Math" w:hAnsi="Cambria Math"/>
                  <w:sz w:val="20"/>
                  <w:szCs w:val="20"/>
                </w:rPr>
                <m:t>,4</m:t>
              </m:r>
            </m:e>
          </m:d>
          <m:r>
            <w:rPr>
              <w:rFonts w:ascii="Cambria Math" w:hAnsi="Cambria Math"/>
              <w:sz w:val="20"/>
              <w:szCs w:val="20"/>
              <w:lang w:val="en-US"/>
            </w:rPr>
            <m:t>×</m:t>
          </m:r>
          <m:r>
            <w:rPr>
              <w:rFonts w:ascii="Cambria Math" w:hAnsi="Cambria Math"/>
              <w:sz w:val="20"/>
              <w:szCs w:val="20"/>
            </w:rPr>
            <m:t>100,                                    (17)</m:t>
          </m:r>
        </m:oMath>
      </m:oMathPara>
    </w:p>
    <w:p w14:paraId="398977B4"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69C2108D" w14:textId="77777777" w:rsidR="00BA43DC" w:rsidRPr="00BE536E" w:rsidRDefault="00A3154D" w:rsidP="00BA43DC">
      <w:pPr>
        <w:spacing w:after="0" w:line="312" w:lineRule="auto"/>
        <w:ind w:left="3533" w:hanging="2115"/>
        <w:jc w:val="both"/>
        <w:rPr>
          <w:rFonts w:ascii="Verdana" w:hAnsi="Verdana"/>
          <w:sz w:val="20"/>
          <w:szCs w:val="20"/>
        </w:rPr>
      </w:pP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00BA43DC" w:rsidRPr="00BE536E">
        <w:rPr>
          <w:rFonts w:ascii="Verdana" w:hAnsi="Verdana"/>
          <w:sz w:val="20"/>
          <w:szCs w:val="20"/>
        </w:rPr>
        <w:tab/>
      </w:r>
      <w:r w:rsidR="00BA43DC" w:rsidRPr="00BE536E">
        <w:rPr>
          <w:rFonts w:ascii="Verdana" w:hAnsi="Verdana"/>
          <w:sz w:val="20"/>
          <w:szCs w:val="20"/>
        </w:rPr>
        <w:tab/>
        <w:t>- медианное значение кредитного спреда, рассчитанные в базисных пунктах;</w:t>
      </w:r>
    </w:p>
    <w:p w14:paraId="5501DB18" w14:textId="77777777" w:rsidR="00BA43DC" w:rsidRPr="00BE536E" w:rsidRDefault="00A3154D"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j</m:t>
            </m:r>
          </m:sub>
        </m:sSub>
      </m:oMath>
      <w:r w:rsidR="00BA43DC" w:rsidRPr="00BE536E">
        <w:rPr>
          <w:rFonts w:ascii="Verdana" w:hAnsi="Verdana"/>
          <w:sz w:val="20"/>
          <w:szCs w:val="20"/>
        </w:rPr>
        <w:tab/>
      </w:r>
      <w:r w:rsidR="00BA43DC" w:rsidRPr="00BE536E">
        <w:rPr>
          <w:rFonts w:ascii="Verdana" w:hAnsi="Verdana"/>
          <w:sz w:val="20"/>
          <w:szCs w:val="20"/>
        </w:rPr>
        <w:tab/>
        <w:t xml:space="preserve">- эффективная доходность к погашению (оферте) по средневзвешенной цене </w:t>
      </w:r>
      <w:r w:rsidR="00BA43DC" w:rsidRPr="00BE536E">
        <w:rPr>
          <w:rFonts w:ascii="Verdana" w:hAnsi="Verdana"/>
          <w:i/>
          <w:sz w:val="20"/>
          <w:szCs w:val="20"/>
          <w:lang w:val="en-US"/>
        </w:rPr>
        <w:t>j</w:t>
      </w:r>
      <w:r w:rsidR="00BA43DC" w:rsidRPr="00BE536E">
        <w:rPr>
          <w:rFonts w:ascii="Verdana" w:hAnsi="Verdana"/>
          <w:sz w:val="20"/>
          <w:szCs w:val="20"/>
        </w:rPr>
        <w:t>-го выпуска долговой ценной бумаги, раскрытая Московской биржей;</w:t>
      </w:r>
    </w:p>
    <w:p w14:paraId="433F1ACF" w14:textId="77777777" w:rsidR="00BA43DC" w:rsidRPr="00BE536E" w:rsidRDefault="00A3154D"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j</m:t>
            </m:r>
          </m:sub>
        </m:sSub>
      </m:oMath>
      <w:r w:rsidR="00BA43DC" w:rsidRPr="00BE536E">
        <w:rPr>
          <w:rFonts w:ascii="Verdana" w:hAnsi="Verdana"/>
          <w:sz w:val="20"/>
          <w:szCs w:val="20"/>
        </w:rPr>
        <w:tab/>
        <w:t xml:space="preserve">- значение Ставки КБД в точке, соответствующей средневзвешенному сроку до погашения / оферты </w:t>
      </w:r>
      <w:r w:rsidR="00BA43DC" w:rsidRPr="00BE536E">
        <w:rPr>
          <w:rFonts w:ascii="Verdana" w:hAnsi="Verdana"/>
          <w:i/>
          <w:sz w:val="20"/>
          <w:szCs w:val="20"/>
          <w:lang w:val="en-US"/>
        </w:rPr>
        <w:t>j</w:t>
      </w:r>
      <w:r w:rsidR="00BA43DC" w:rsidRPr="00BE536E">
        <w:rPr>
          <w:rFonts w:ascii="Verdana" w:hAnsi="Verdana"/>
          <w:sz w:val="20"/>
          <w:szCs w:val="20"/>
        </w:rPr>
        <w:t>-го выпуска долговой ценной бумаги;</w:t>
      </w:r>
    </w:p>
    <w:p w14:paraId="66F45109"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lang w:val="en-US"/>
          </w:rPr>
          <m:t>j</m:t>
        </m:r>
      </m:oMath>
      <w:r w:rsidRPr="00BE536E">
        <w:rPr>
          <w:rFonts w:ascii="Verdana" w:hAnsi="Verdana"/>
          <w:sz w:val="20"/>
          <w:szCs w:val="20"/>
        </w:rPr>
        <w:tab/>
        <w:t>- идентификатор выпуска долговой ценной бумаги, отличного от оцениваемого, с таким же или близким кредитным рейтингом.</w:t>
      </w:r>
    </w:p>
    <w:p w14:paraId="45D5BE4E" w14:textId="77777777" w:rsidR="00BA43DC" w:rsidRPr="00BE536E" w:rsidRDefault="00BA43DC" w:rsidP="00D05311">
      <w:pPr>
        <w:numPr>
          <w:ilvl w:val="0"/>
          <w:numId w:val="111"/>
        </w:numPr>
        <w:tabs>
          <w:tab w:val="left" w:pos="1134"/>
        </w:tabs>
        <w:spacing w:after="0" w:line="312" w:lineRule="auto"/>
        <w:ind w:left="1134" w:hanging="567"/>
        <w:jc w:val="both"/>
        <w:rPr>
          <w:rFonts w:ascii="Verdana" w:hAnsi="Verdana"/>
          <w:sz w:val="20"/>
          <w:szCs w:val="20"/>
        </w:rPr>
      </w:pPr>
      <w:r w:rsidRPr="00BE536E">
        <w:rPr>
          <w:rFonts w:ascii="Verdana" w:hAnsi="Verdana"/>
          <w:sz w:val="20"/>
          <w:szCs w:val="20"/>
        </w:rPr>
        <w:t>При отсутствии рейтинга выпуска долговой ценной бумаги, эмитента / поручителя этого выпуска, присвоенного международным или национальным рейтинговым агентством, указанным в Таблице 1, медианное значение кредитного спреда рассчитывается:</w:t>
      </w:r>
    </w:p>
    <w:p w14:paraId="33F28FBA" w14:textId="77777777" w:rsidR="00BA43DC" w:rsidRPr="00BE536E" w:rsidRDefault="00BA43DC" w:rsidP="00D05311">
      <w:pPr>
        <w:numPr>
          <w:ilvl w:val="1"/>
          <w:numId w:val="111"/>
        </w:numPr>
        <w:tabs>
          <w:tab w:val="left" w:pos="1134"/>
        </w:tabs>
        <w:spacing w:after="0" w:line="312" w:lineRule="auto"/>
        <w:jc w:val="both"/>
        <w:rPr>
          <w:rFonts w:ascii="Verdana" w:hAnsi="Verdana"/>
          <w:sz w:val="20"/>
          <w:szCs w:val="20"/>
        </w:rPr>
      </w:pPr>
      <w:r w:rsidRPr="00BE536E">
        <w:rPr>
          <w:rFonts w:ascii="Verdana" w:hAnsi="Verdana"/>
          <w:sz w:val="20"/>
          <w:szCs w:val="20"/>
        </w:rPr>
        <w:t>как отклонение эффективной доходности к погашению (оферте) выпуска долговой ценной бумаги аналогичного кредитного качества, рынок по которому признается активным и имеются рыночные цены уровня 1 иерархии справедливой стоимости, от Ставки КБД для средневзвешенного срока до погашения (оферты) соответствующего выпуска.</w:t>
      </w:r>
    </w:p>
    <w:p w14:paraId="7B80A0CB" w14:textId="77777777" w:rsidR="00BA43DC" w:rsidRPr="00BE536E" w:rsidRDefault="00BA43DC" w:rsidP="00BA43DC">
      <w:pPr>
        <w:tabs>
          <w:tab w:val="left" w:pos="1134"/>
        </w:tabs>
        <w:spacing w:after="0" w:line="312" w:lineRule="auto"/>
        <w:ind w:left="1440"/>
        <w:jc w:val="both"/>
        <w:rPr>
          <w:rFonts w:ascii="Verdana" w:hAnsi="Verdana"/>
          <w:sz w:val="20"/>
          <w:szCs w:val="20"/>
        </w:rPr>
      </w:pPr>
      <w:r w:rsidRPr="00BE536E">
        <w:rPr>
          <w:rFonts w:ascii="Verdana" w:hAnsi="Verdana"/>
          <w:sz w:val="20"/>
          <w:szCs w:val="20"/>
        </w:rPr>
        <w:t>Аналогичное кредитное качество может определяться на основании присвоенного кредитного рейтинга исходя из внутренней методики определения величины кредитного риска.</w:t>
      </w:r>
    </w:p>
    <w:p w14:paraId="10A57DDD" w14:textId="77777777" w:rsidR="00BA43DC" w:rsidRPr="00BE536E" w:rsidRDefault="00BA43DC" w:rsidP="00D05311">
      <w:pPr>
        <w:numPr>
          <w:ilvl w:val="1"/>
          <w:numId w:val="111"/>
        </w:numPr>
        <w:tabs>
          <w:tab w:val="left" w:pos="1134"/>
        </w:tabs>
        <w:spacing w:after="0" w:line="312" w:lineRule="auto"/>
        <w:jc w:val="both"/>
        <w:rPr>
          <w:rFonts w:ascii="Verdana" w:hAnsi="Verdana"/>
          <w:sz w:val="20"/>
          <w:szCs w:val="20"/>
        </w:rPr>
      </w:pPr>
      <w:r w:rsidRPr="00BE536E">
        <w:rPr>
          <w:rFonts w:ascii="Verdana" w:hAnsi="Verdana"/>
          <w:sz w:val="20"/>
          <w:szCs w:val="20"/>
        </w:rPr>
        <w:t xml:space="preserve">как медианное значение кредитного спреда, рассчитанного для III рейтинговой группы, увеличенное на величину </w:t>
      </w:r>
      <m:oMath>
        <m:r>
          <w:rPr>
            <w:rFonts w:ascii="Cambria Math" w:hAnsi="Cambria Math"/>
            <w:sz w:val="20"/>
            <w:szCs w:val="20"/>
          </w:rPr>
          <m:t>∆</m:t>
        </m:r>
        <m:r>
          <w:rPr>
            <w:rFonts w:ascii="Cambria Math" w:hAnsi="Cambria Math"/>
            <w:sz w:val="20"/>
            <w:szCs w:val="20"/>
            <w:lang w:val="en-US"/>
          </w:rPr>
          <m:t>FD</m:t>
        </m:r>
      </m:oMath>
      <w:r w:rsidRPr="00BE536E">
        <w:rPr>
          <w:rFonts w:ascii="Verdana" w:hAnsi="Verdana"/>
          <w:sz w:val="20"/>
          <w:szCs w:val="20"/>
        </w:rPr>
        <w:t>.</w:t>
      </w:r>
    </w:p>
    <w:p w14:paraId="37DA5357" w14:textId="77777777" w:rsidR="00BA43DC" w:rsidRPr="00BE536E" w:rsidRDefault="00BA43DC" w:rsidP="00BA43DC">
      <w:pPr>
        <w:tabs>
          <w:tab w:val="left" w:pos="1134"/>
        </w:tabs>
        <w:spacing w:after="0" w:line="312" w:lineRule="auto"/>
        <w:ind w:left="1440"/>
        <w:jc w:val="both"/>
        <w:rPr>
          <w:rFonts w:ascii="Verdana" w:hAnsi="Verdana"/>
          <w:sz w:val="20"/>
          <w:szCs w:val="20"/>
        </w:rPr>
      </w:pPr>
      <w:r w:rsidRPr="00BE536E">
        <w:rPr>
          <w:rFonts w:ascii="Verdana" w:hAnsi="Verdana"/>
          <w:sz w:val="20"/>
          <w:szCs w:val="20"/>
        </w:rPr>
        <w:t xml:space="preserve">Величина </w:t>
      </w:r>
      <m:oMath>
        <m:r>
          <w:rPr>
            <w:rFonts w:ascii="Cambria Math" w:hAnsi="Cambria Math"/>
            <w:sz w:val="20"/>
            <w:szCs w:val="20"/>
          </w:rPr>
          <m:t>∆</m:t>
        </m:r>
        <m:r>
          <w:rPr>
            <w:rFonts w:ascii="Cambria Math" w:hAnsi="Cambria Math"/>
            <w:sz w:val="20"/>
            <w:szCs w:val="20"/>
            <w:lang w:val="en-US"/>
          </w:rPr>
          <m:t>FD</m:t>
        </m:r>
      </m:oMath>
      <w:r w:rsidRPr="00BE536E">
        <w:rPr>
          <w:rFonts w:ascii="Verdana" w:hAnsi="Verdana"/>
          <w:sz w:val="20"/>
          <w:szCs w:val="20"/>
        </w:rPr>
        <w:t xml:space="preserve"> ежегодно определяется как разница между средним значением частоты дефолтов</w:t>
      </w:r>
      <w:r w:rsidRPr="00BE536E">
        <w:rPr>
          <w:rStyle w:val="ab"/>
          <w:rFonts w:ascii="Verdana" w:hAnsi="Verdana"/>
        </w:rPr>
        <w:footnoteReference w:id="41"/>
      </w:r>
      <w:r w:rsidRPr="00BE536E">
        <w:rPr>
          <w:rFonts w:ascii="Verdana" w:hAnsi="Verdana"/>
          <w:sz w:val="20"/>
          <w:szCs w:val="20"/>
        </w:rPr>
        <w:t xml:space="preserve"> выпусков долговых ценных бумаг российских эмитентов, отнесенных к рейтинговой группе IV, и средним значением частоты дефолтов выпусков долговых ценных бумаг российских эмитентов, отнесенных к рейтинговой группе III.</w:t>
      </w:r>
    </w:p>
    <w:p w14:paraId="4DBBF218" w14:textId="77777777" w:rsidR="00BA43DC" w:rsidRPr="00BE536E" w:rsidRDefault="00BA43DC" w:rsidP="00BA43DC">
      <w:pPr>
        <w:tabs>
          <w:tab w:val="left" w:pos="1134"/>
        </w:tabs>
        <w:spacing w:line="312" w:lineRule="auto"/>
        <w:ind w:left="1440"/>
        <w:jc w:val="both"/>
        <w:rPr>
          <w:rFonts w:ascii="Verdana" w:hAnsi="Verdana"/>
          <w:sz w:val="20"/>
          <w:szCs w:val="20"/>
        </w:rPr>
      </w:pPr>
      <w:r w:rsidRPr="00BE536E">
        <w:rPr>
          <w:rFonts w:ascii="Verdana" w:hAnsi="Verdana"/>
          <w:sz w:val="20"/>
          <w:szCs w:val="20"/>
        </w:rPr>
        <w:t>Среднее значение частоты дефолтов выпусков долговых ценных бумаг, отнесенных к соответствующей рейтинговой группе, определяется по формуле (18):</w:t>
      </w:r>
    </w:p>
    <w:p w14:paraId="3E43531E" w14:textId="77777777" w:rsidR="00BA43DC" w:rsidRPr="00BE536E" w:rsidRDefault="00BA43DC" w:rsidP="00BA43DC">
      <w:pPr>
        <w:spacing w:line="312" w:lineRule="auto"/>
        <w:ind w:left="2124" w:firstLine="708"/>
        <w:rPr>
          <w:rFonts w:ascii="Verdana" w:hAnsi="Verdana"/>
          <w:i/>
          <w:sz w:val="20"/>
          <w:szCs w:val="20"/>
        </w:rPr>
      </w:pPr>
      <m:oMathPara>
        <m:oMathParaPr>
          <m:jc m:val="center"/>
        </m:oMathParaPr>
        <m:oMath>
          <m:r>
            <m:rPr>
              <m:sty m:val="p"/>
            </m:rPr>
            <w:rPr>
              <w:rFonts w:ascii="Cambria Math" w:hAnsi="Cambria Math"/>
              <w:sz w:val="20"/>
              <w:szCs w:val="20"/>
              <w:lang w:val="en-US"/>
            </w:rPr>
            <w:lastRenderedPageBreak/>
            <m:t>Δ</m:t>
          </m:r>
          <m:r>
            <w:rPr>
              <w:rFonts w:ascii="Cambria Math" w:hAnsi="Cambria Math"/>
              <w:sz w:val="20"/>
              <w:szCs w:val="20"/>
              <w:lang w:val="en-US"/>
            </w:rPr>
            <m:t>FD</m:t>
          </m:r>
          <m:r>
            <w:rPr>
              <w:rFonts w:ascii="Cambria Math" w:hAnsi="Cambria Math"/>
              <w:sz w:val="20"/>
              <w:szCs w:val="20"/>
            </w:rPr>
            <m:t>=</m:t>
          </m:r>
          <m:r>
            <w:rPr>
              <w:rFonts w:ascii="Cambria Math" w:hAnsi="Cambria Math"/>
              <w:sz w:val="20"/>
              <w:szCs w:val="20"/>
              <w:lang w:val="en-US"/>
            </w:rPr>
            <m:t>СРЗНАЧ</m:t>
          </m:r>
          <m:d>
            <m:dPr>
              <m:ctrlPr>
                <w:rPr>
                  <w:rFonts w:ascii="Cambria Math" w:hAnsi="Cambria Math"/>
                  <w:i/>
                  <w:sz w:val="20"/>
                  <w:szCs w:val="20"/>
                </w:rPr>
              </m:ctrlPr>
            </m:dPr>
            <m:e>
              <m:nary>
                <m:naryPr>
                  <m:chr m:val="∑"/>
                  <m:limLoc m:val="undOvr"/>
                  <m:ctrlPr>
                    <w:rPr>
                      <w:rFonts w:ascii="Cambria Math" w:hAnsi="Cambria Math"/>
                      <w:i/>
                      <w:sz w:val="20"/>
                      <w:szCs w:val="20"/>
                    </w:rPr>
                  </m:ctrlPr>
                </m:naryPr>
                <m:sub>
                  <m:r>
                    <w:rPr>
                      <w:rFonts w:ascii="Cambria Math" w:hAnsi="Cambria Math"/>
                      <w:sz w:val="20"/>
                      <w:szCs w:val="20"/>
                    </w:rPr>
                    <m:t>n</m:t>
                  </m:r>
                </m:sub>
                <m:sup>
                  <m:r>
                    <w:rPr>
                      <w:rFonts w:ascii="Cambria Math" w:hAnsi="Cambria Math"/>
                      <w:sz w:val="20"/>
                      <w:szCs w:val="20"/>
                    </w:rPr>
                    <m:t>N</m:t>
                  </m:r>
                </m:sup>
                <m:e>
                  <m:f>
                    <m:fPr>
                      <m:ctrlPr>
                        <w:rPr>
                          <w:rFonts w:ascii="Cambria Math" w:hAnsi="Cambria Math"/>
                          <w:i/>
                          <w:sz w:val="20"/>
                          <w:szCs w:val="20"/>
                        </w:rPr>
                      </m:ctrlPr>
                    </m:fPr>
                    <m:num>
                      <m:sSup>
                        <m:sSupPr>
                          <m:ctrlPr>
                            <w:rPr>
                              <w:rFonts w:ascii="Cambria Math" w:hAnsi="Cambria Math"/>
                              <w:i/>
                              <w:sz w:val="20"/>
                              <w:szCs w:val="20"/>
                            </w:rPr>
                          </m:ctrlPr>
                        </m:sSupPr>
                        <m:e>
                          <m:r>
                            <w:rPr>
                              <w:rFonts w:ascii="Cambria Math" w:hAnsi="Cambria Math"/>
                              <w:sz w:val="20"/>
                              <w:szCs w:val="20"/>
                            </w:rPr>
                            <m:t>IS</m:t>
                          </m:r>
                        </m:e>
                        <m:sup>
                          <m:r>
                            <w:rPr>
                              <w:rFonts w:ascii="Cambria Math" w:hAnsi="Cambria Math"/>
                              <w:sz w:val="20"/>
                              <w:szCs w:val="20"/>
                            </w:rPr>
                            <m:t>D</m:t>
                          </m:r>
                        </m:sup>
                      </m:sSup>
                    </m:num>
                    <m:den>
                      <m:r>
                        <w:rPr>
                          <w:rFonts w:ascii="Cambria Math" w:hAnsi="Cambria Math"/>
                          <w:sz w:val="20"/>
                          <w:szCs w:val="20"/>
                        </w:rPr>
                        <m:t>IS</m:t>
                      </m:r>
                    </m:den>
                  </m:f>
                </m:e>
              </m:nary>
            </m:e>
          </m:d>
          <m:r>
            <w:rPr>
              <w:rFonts w:ascii="Cambria Math" w:hAnsi="Cambria Math"/>
              <w:sz w:val="20"/>
              <w:szCs w:val="20"/>
            </w:rPr>
            <m:t>,                                                      (18)</m:t>
          </m:r>
        </m:oMath>
      </m:oMathPara>
    </w:p>
    <w:p w14:paraId="37D87BEB" w14:textId="77777777" w:rsidR="00BA43DC" w:rsidRPr="00BE536E" w:rsidRDefault="00BA43DC" w:rsidP="00BA43DC">
      <w:pPr>
        <w:spacing w:line="312" w:lineRule="auto"/>
        <w:ind w:left="708" w:firstLine="708"/>
        <w:rPr>
          <w:rFonts w:ascii="Verdana" w:hAnsi="Verdana"/>
          <w:sz w:val="20"/>
          <w:szCs w:val="20"/>
        </w:rPr>
      </w:pPr>
      <w:r w:rsidRPr="00BE536E">
        <w:rPr>
          <w:rFonts w:ascii="Verdana" w:hAnsi="Verdana"/>
          <w:sz w:val="20"/>
          <w:szCs w:val="20"/>
        </w:rPr>
        <w:t>где:</w:t>
      </w:r>
    </w:p>
    <w:p w14:paraId="0716ADEE" w14:textId="77777777" w:rsidR="00BA43DC" w:rsidRPr="00BE536E" w:rsidRDefault="00A3154D" w:rsidP="00BA43DC">
      <w:pPr>
        <w:spacing w:after="0" w:line="312" w:lineRule="auto"/>
        <w:ind w:left="2269" w:hanging="851"/>
        <w:jc w:val="both"/>
        <w:rPr>
          <w:rFonts w:ascii="Verdana" w:hAnsi="Verdana"/>
          <w:sz w:val="20"/>
          <w:szCs w:val="20"/>
        </w:rPr>
      </w:pPr>
      <m:oMath>
        <m:sSup>
          <m:sSupPr>
            <m:ctrlPr>
              <w:rPr>
                <w:rFonts w:ascii="Cambria Math" w:hAnsi="Cambria Math"/>
                <w:i/>
                <w:sz w:val="20"/>
                <w:szCs w:val="20"/>
              </w:rPr>
            </m:ctrlPr>
          </m:sSupPr>
          <m:e>
            <m:r>
              <w:rPr>
                <w:rFonts w:ascii="Cambria Math" w:hAnsi="Cambria Math"/>
                <w:sz w:val="20"/>
                <w:szCs w:val="20"/>
              </w:rPr>
              <m:t>IS</m:t>
            </m:r>
          </m:e>
          <m:sup>
            <m:r>
              <w:rPr>
                <w:rFonts w:ascii="Cambria Math" w:hAnsi="Cambria Math"/>
                <w:sz w:val="20"/>
                <w:szCs w:val="20"/>
              </w:rPr>
              <m:t>D</m:t>
            </m:r>
          </m:sup>
        </m:sSup>
      </m:oMath>
      <w:r w:rsidR="00BA43DC" w:rsidRPr="00BE536E">
        <w:rPr>
          <w:rFonts w:ascii="Verdana" w:hAnsi="Verdana"/>
          <w:sz w:val="20"/>
          <w:szCs w:val="20"/>
        </w:rPr>
        <w:tab/>
        <w:t>- количество российских эмитентов выпусков долговых ценных бумаг, отнесенных в соответствии с Таблицей 1 к соответствующей рейтинговой группе, допустивших дефолт хотя бы одного обязательства, предусмотренного хотя бы одним выпуском долговых ценных бумаг в течение соответствующего периода (года) наблюдения;</w:t>
      </w:r>
    </w:p>
    <w:p w14:paraId="0C1B48D9" w14:textId="77777777" w:rsidR="00BA43DC" w:rsidRPr="00BE536E" w:rsidRDefault="00BA43DC" w:rsidP="00BA43DC">
      <w:pPr>
        <w:spacing w:after="0" w:line="312" w:lineRule="auto"/>
        <w:ind w:left="2269" w:hanging="851"/>
        <w:jc w:val="both"/>
        <w:rPr>
          <w:rFonts w:ascii="Verdana" w:hAnsi="Verdana"/>
          <w:sz w:val="20"/>
          <w:szCs w:val="20"/>
        </w:rPr>
      </w:pPr>
      <m:oMath>
        <m:r>
          <w:rPr>
            <w:rFonts w:ascii="Cambria Math" w:hAnsi="Cambria Math"/>
            <w:sz w:val="20"/>
            <w:szCs w:val="20"/>
          </w:rPr>
          <m:t>IS</m:t>
        </m:r>
      </m:oMath>
      <w:r w:rsidRPr="00BE536E">
        <w:rPr>
          <w:rFonts w:ascii="Verdana" w:hAnsi="Verdana"/>
          <w:sz w:val="20"/>
          <w:szCs w:val="20"/>
        </w:rPr>
        <w:tab/>
        <w:t>- количество российских эмитентов выпусков долговых ценных бумаг, отнесенных в соответствии с Таблицей 1 к соответствующей рейтинговой группе;</w:t>
      </w:r>
    </w:p>
    <w:p w14:paraId="0DC667F4" w14:textId="77777777" w:rsidR="00BA43DC" w:rsidRPr="00BE536E" w:rsidRDefault="00BA43DC" w:rsidP="00BA43DC">
      <w:pPr>
        <w:spacing w:after="0" w:line="312" w:lineRule="auto"/>
        <w:ind w:left="2269" w:hanging="851"/>
        <w:jc w:val="both"/>
        <w:rPr>
          <w:rFonts w:ascii="Verdana" w:hAnsi="Verdana"/>
          <w:sz w:val="20"/>
          <w:szCs w:val="20"/>
        </w:rPr>
      </w:pPr>
      <w:r w:rsidRPr="00BE536E">
        <w:rPr>
          <w:rFonts w:ascii="Verdana" w:hAnsi="Verdana"/>
          <w:i/>
          <w:sz w:val="20"/>
          <w:szCs w:val="20"/>
        </w:rPr>
        <w:t>n</w:t>
      </w:r>
      <w:r w:rsidRPr="00BE536E">
        <w:rPr>
          <w:rFonts w:ascii="Verdana" w:hAnsi="Verdana"/>
          <w:sz w:val="20"/>
          <w:szCs w:val="20"/>
        </w:rPr>
        <w:tab/>
        <w:t>- порядковый номер периода (года) наблюдения, принадлежащий множеству N;</w:t>
      </w:r>
    </w:p>
    <w:p w14:paraId="0F8EBB2F" w14:textId="77777777" w:rsidR="00BA43DC" w:rsidRPr="00BE536E" w:rsidRDefault="00BA43DC" w:rsidP="00BA43DC">
      <w:pPr>
        <w:spacing w:line="312" w:lineRule="auto"/>
        <w:ind w:left="2268" w:hanging="850"/>
        <w:jc w:val="both"/>
        <w:rPr>
          <w:rFonts w:ascii="Verdana" w:hAnsi="Verdana"/>
          <w:sz w:val="20"/>
          <w:szCs w:val="20"/>
        </w:rPr>
      </w:pPr>
      <w:r w:rsidRPr="00BE536E">
        <w:rPr>
          <w:rFonts w:ascii="Verdana" w:hAnsi="Verdana"/>
          <w:i/>
          <w:sz w:val="20"/>
          <w:szCs w:val="20"/>
        </w:rPr>
        <w:t>N</w:t>
      </w:r>
      <w:r w:rsidRPr="00BE536E">
        <w:rPr>
          <w:rFonts w:ascii="Verdana" w:hAnsi="Verdana"/>
          <w:sz w:val="20"/>
          <w:szCs w:val="20"/>
        </w:rPr>
        <w:tab/>
        <w:t>- количество периодов наблюдения, лет.</w:t>
      </w:r>
    </w:p>
    <w:p w14:paraId="71AFAEBF" w14:textId="77777777" w:rsidR="00BA43DC" w:rsidRPr="00BE536E" w:rsidRDefault="00BA43DC" w:rsidP="00BA43DC">
      <w:pPr>
        <w:tabs>
          <w:tab w:val="left" w:pos="1134"/>
        </w:tabs>
        <w:spacing w:after="0" w:line="312" w:lineRule="auto"/>
        <w:jc w:val="both"/>
        <w:rPr>
          <w:rFonts w:ascii="Verdana" w:hAnsi="Verdana"/>
          <w:sz w:val="20"/>
          <w:szCs w:val="20"/>
        </w:rPr>
      </w:pPr>
      <w:r w:rsidRPr="00BE536E">
        <w:rPr>
          <w:rFonts w:ascii="Verdana" w:hAnsi="Verdana"/>
          <w:sz w:val="20"/>
          <w:szCs w:val="20"/>
        </w:rPr>
        <w:t xml:space="preserve">Результат расчета </w:t>
      </w:r>
      <w:r w:rsidRPr="00BE536E">
        <w:rPr>
          <w:rFonts w:ascii="Verdana" w:hAnsi="Verdana"/>
          <w:sz w:val="20"/>
          <w:szCs w:val="20"/>
          <w:lang w:val="en-US"/>
        </w:rPr>
        <w:t>FD</w:t>
      </w:r>
      <w:r w:rsidRPr="00BE536E">
        <w:rPr>
          <w:rFonts w:ascii="Verdana" w:hAnsi="Verdana"/>
          <w:sz w:val="20"/>
          <w:szCs w:val="20"/>
        </w:rPr>
        <w:t xml:space="preserve"> округляется по правилам математического округления до целого значения.</w:t>
      </w:r>
    </w:p>
    <w:p w14:paraId="7BCFC9D2" w14:textId="77777777" w:rsidR="00BA43DC" w:rsidRPr="00BE536E" w:rsidRDefault="00BA43DC" w:rsidP="00BA43DC">
      <w:pPr>
        <w:spacing w:line="312" w:lineRule="auto"/>
        <w:contextualSpacing/>
        <w:jc w:val="both"/>
        <w:rPr>
          <w:rFonts w:ascii="Verdana" w:hAnsi="Verdana"/>
          <w:sz w:val="20"/>
          <w:szCs w:val="20"/>
        </w:rPr>
      </w:pPr>
    </w:p>
    <w:p w14:paraId="6D7E87FB" w14:textId="77777777" w:rsidR="00BA43DC" w:rsidRPr="00BE536E" w:rsidRDefault="00BA43DC" w:rsidP="00D05311">
      <w:pPr>
        <w:numPr>
          <w:ilvl w:val="0"/>
          <w:numId w:val="106"/>
        </w:numPr>
        <w:spacing w:after="0" w:line="312" w:lineRule="auto"/>
        <w:jc w:val="both"/>
        <w:rPr>
          <w:rFonts w:ascii="Verdana" w:hAnsi="Verdana"/>
          <w:b/>
          <w:sz w:val="20"/>
          <w:szCs w:val="20"/>
        </w:rPr>
      </w:pPr>
      <w:r w:rsidRPr="00BE536E">
        <w:rPr>
          <w:rFonts w:ascii="Verdana" w:hAnsi="Verdana"/>
          <w:b/>
          <w:sz w:val="20"/>
          <w:szCs w:val="20"/>
        </w:rPr>
        <w:t>Порядок определения диапазона кредитных спредов для рейтинговых групп</w:t>
      </w:r>
    </w:p>
    <w:p w14:paraId="2A338A6B"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Выбор диапазона диапазонов кредитных спредов для рейтинговых групп I, II, III основывается на следующем:</w:t>
      </w:r>
    </w:p>
    <w:p w14:paraId="1651E372" w14:textId="77777777" w:rsidR="00BA43DC" w:rsidRPr="00BE536E" w:rsidRDefault="00BA43DC" w:rsidP="00D05311">
      <w:pPr>
        <w:numPr>
          <w:ilvl w:val="0"/>
          <w:numId w:val="112"/>
        </w:numPr>
        <w:spacing w:after="0" w:line="312" w:lineRule="auto"/>
        <w:ind w:left="1134" w:hanging="425"/>
        <w:contextualSpacing/>
        <w:jc w:val="both"/>
        <w:rPr>
          <w:rFonts w:ascii="Verdana" w:hAnsi="Verdana"/>
          <w:sz w:val="20"/>
          <w:szCs w:val="20"/>
        </w:rPr>
      </w:pPr>
      <w:r w:rsidRPr="00BE536E">
        <w:rPr>
          <w:rFonts w:ascii="Verdana" w:hAnsi="Verdana"/>
          <w:sz w:val="20"/>
          <w:szCs w:val="20"/>
        </w:rPr>
        <w:t>медианное значение кредитного спреда определяется в порядке, предусмотренном настоящим Регламентом;</w:t>
      </w:r>
    </w:p>
    <w:p w14:paraId="5E8F4535" w14:textId="77777777" w:rsidR="00BA43DC" w:rsidRPr="00BE536E" w:rsidRDefault="00BA43DC" w:rsidP="00D05311">
      <w:pPr>
        <w:numPr>
          <w:ilvl w:val="0"/>
          <w:numId w:val="112"/>
        </w:numPr>
        <w:spacing w:after="0" w:line="312" w:lineRule="auto"/>
        <w:ind w:left="1134" w:hanging="425"/>
        <w:contextualSpacing/>
        <w:jc w:val="both"/>
        <w:rPr>
          <w:rFonts w:ascii="Verdana" w:hAnsi="Verdana"/>
          <w:sz w:val="20"/>
          <w:szCs w:val="20"/>
        </w:rPr>
      </w:pPr>
      <w:r w:rsidRPr="00BE536E">
        <w:rPr>
          <w:rFonts w:ascii="Verdana" w:hAnsi="Verdana"/>
          <w:sz w:val="20"/>
          <w:szCs w:val="20"/>
        </w:rPr>
        <w:t>нижняя граница для I-ой рейтинговой группы принимается равной 0, так как доходность облигаций I-ой рейтинговой группы не должна быть ниже средней доходности государственных бумаг;</w:t>
      </w:r>
    </w:p>
    <w:p w14:paraId="395EF652" w14:textId="77777777" w:rsidR="00BA43DC" w:rsidRPr="00BE536E" w:rsidRDefault="00BA43DC" w:rsidP="00D05311">
      <w:pPr>
        <w:numPr>
          <w:ilvl w:val="0"/>
          <w:numId w:val="112"/>
        </w:numPr>
        <w:spacing w:after="0" w:line="312" w:lineRule="auto"/>
        <w:ind w:left="1134" w:hanging="425"/>
        <w:contextualSpacing/>
        <w:jc w:val="both"/>
        <w:rPr>
          <w:rFonts w:ascii="Verdana" w:hAnsi="Verdana"/>
          <w:sz w:val="20"/>
          <w:szCs w:val="20"/>
        </w:rPr>
      </w:pPr>
      <w:r w:rsidRPr="00BE536E">
        <w:rPr>
          <w:rFonts w:ascii="Verdana" w:hAnsi="Verdana"/>
          <w:sz w:val="20"/>
          <w:szCs w:val="20"/>
        </w:rPr>
        <w:t>нижняя граница для II-ой рейтинговой группы устанавливается равной медианному значению I-ой рейтинговой группы, так как доходность облигаций II-ой рейтинговой группы не должна быть ниже средней доходности облигаций I-ой рейтинговой группы;</w:t>
      </w:r>
    </w:p>
    <w:p w14:paraId="0B1C6921" w14:textId="77777777" w:rsidR="00BA43DC" w:rsidRPr="00BE536E" w:rsidRDefault="00BA43DC" w:rsidP="00D05311">
      <w:pPr>
        <w:numPr>
          <w:ilvl w:val="0"/>
          <w:numId w:val="112"/>
        </w:numPr>
        <w:spacing w:after="0" w:line="312" w:lineRule="auto"/>
        <w:ind w:left="1134" w:hanging="425"/>
        <w:contextualSpacing/>
        <w:jc w:val="both"/>
        <w:rPr>
          <w:rFonts w:ascii="Verdana" w:hAnsi="Verdana"/>
          <w:sz w:val="20"/>
          <w:szCs w:val="20"/>
        </w:rPr>
      </w:pPr>
      <w:r w:rsidRPr="00BE536E">
        <w:rPr>
          <w:rFonts w:ascii="Verdana" w:hAnsi="Verdana"/>
          <w:sz w:val="20"/>
          <w:szCs w:val="20"/>
        </w:rPr>
        <w:t>нижняя граница для I</w:t>
      </w:r>
      <w:r w:rsidRPr="00BE536E">
        <w:rPr>
          <w:rFonts w:ascii="Verdana" w:hAnsi="Verdana"/>
          <w:sz w:val="20"/>
          <w:szCs w:val="20"/>
          <w:lang w:val="en-US"/>
        </w:rPr>
        <w:t>I</w:t>
      </w:r>
      <w:r w:rsidRPr="00BE536E">
        <w:rPr>
          <w:rFonts w:ascii="Verdana" w:hAnsi="Verdana"/>
          <w:sz w:val="20"/>
          <w:szCs w:val="20"/>
        </w:rPr>
        <w:t xml:space="preserve">I-ей рейтинговой группы устанавливается равной медианному значению </w:t>
      </w:r>
      <w:r w:rsidRPr="00BE536E">
        <w:rPr>
          <w:rFonts w:ascii="Verdana" w:hAnsi="Verdana"/>
          <w:sz w:val="20"/>
          <w:szCs w:val="20"/>
          <w:lang w:val="en-US"/>
        </w:rPr>
        <w:t>I</w:t>
      </w:r>
      <w:r w:rsidRPr="00BE536E">
        <w:rPr>
          <w:rFonts w:ascii="Verdana" w:hAnsi="Verdana"/>
          <w:sz w:val="20"/>
          <w:szCs w:val="20"/>
        </w:rPr>
        <w:t>I-ой рейтинговой группы, так как доходность облигаций I</w:t>
      </w:r>
      <w:r w:rsidRPr="00BE536E">
        <w:rPr>
          <w:rFonts w:ascii="Verdana" w:hAnsi="Verdana"/>
          <w:sz w:val="20"/>
          <w:szCs w:val="20"/>
          <w:lang w:val="en-US"/>
        </w:rPr>
        <w:t>I</w:t>
      </w:r>
      <w:r w:rsidRPr="00BE536E">
        <w:rPr>
          <w:rFonts w:ascii="Verdana" w:hAnsi="Verdana"/>
          <w:sz w:val="20"/>
          <w:szCs w:val="20"/>
        </w:rPr>
        <w:t>I-ей рейтинговой группы не должна быть ниже средней доходности облигаций I</w:t>
      </w:r>
      <w:r w:rsidRPr="00BE536E">
        <w:rPr>
          <w:rFonts w:ascii="Verdana" w:hAnsi="Verdana"/>
          <w:sz w:val="20"/>
          <w:szCs w:val="20"/>
          <w:lang w:val="en-US"/>
        </w:rPr>
        <w:t>I</w:t>
      </w:r>
      <w:r w:rsidRPr="00BE536E">
        <w:rPr>
          <w:rFonts w:ascii="Verdana" w:hAnsi="Verdana"/>
          <w:sz w:val="20"/>
          <w:szCs w:val="20"/>
        </w:rPr>
        <w:t>-ой рейтинговой группы;</w:t>
      </w:r>
    </w:p>
    <w:p w14:paraId="5BF9D973" w14:textId="77777777" w:rsidR="00BA43DC" w:rsidRPr="00BE536E" w:rsidRDefault="00BA43DC" w:rsidP="00D05311">
      <w:pPr>
        <w:numPr>
          <w:ilvl w:val="0"/>
          <w:numId w:val="112"/>
        </w:numPr>
        <w:spacing w:after="0" w:line="312" w:lineRule="auto"/>
        <w:ind w:left="1134" w:hanging="425"/>
        <w:jc w:val="both"/>
        <w:rPr>
          <w:rFonts w:ascii="Verdana" w:hAnsi="Verdana"/>
          <w:sz w:val="20"/>
          <w:szCs w:val="20"/>
        </w:rPr>
      </w:pPr>
      <w:r w:rsidRPr="00BE536E">
        <w:rPr>
          <w:rFonts w:ascii="Verdana" w:hAnsi="Verdana"/>
          <w:sz w:val="20"/>
          <w:szCs w:val="20"/>
        </w:rPr>
        <w:t>верхняя граница рейтинговой группы устанавливается таким образом, чтобы диапазон между нижней границей и медианой был равен диапазону между медианой и верхней границей рейтинговой группы.</w:t>
      </w:r>
    </w:p>
    <w:p w14:paraId="1B17EF0A" w14:textId="77777777" w:rsidR="00BA43DC" w:rsidRPr="00BE536E" w:rsidRDefault="00BA43DC" w:rsidP="00BA43DC">
      <w:pPr>
        <w:spacing w:after="0" w:line="312" w:lineRule="auto"/>
        <w:ind w:left="708"/>
        <w:jc w:val="both"/>
        <w:rPr>
          <w:rFonts w:ascii="Verdana" w:hAnsi="Verdana"/>
          <w:b/>
          <w:sz w:val="20"/>
          <w:szCs w:val="20"/>
        </w:rPr>
      </w:pPr>
    </w:p>
    <w:p w14:paraId="003A1972"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Расчет диапазона кредитных спредов (минимального</w:t>
      </w:r>
      <w:r w:rsidRPr="00BE536E">
        <w:rPr>
          <w:rFonts w:ascii="Verdana" w:hAnsi="Verdana"/>
          <w:b/>
          <w:sz w:val="20"/>
          <w:szCs w:val="20"/>
        </w:rPr>
        <w:t xml:space="preserve"> </w:t>
      </w:r>
      <w:r w:rsidRPr="00BE536E">
        <w:rPr>
          <w:rFonts w:ascii="Verdana" w:hAnsi="Verdana"/>
          <w:sz w:val="20"/>
          <w:szCs w:val="20"/>
        </w:rPr>
        <w:t xml:space="preserve">значения кредитного спреда - </w:t>
      </w:r>
      <w:r w:rsidRPr="00BE536E">
        <w:rPr>
          <w:rFonts w:ascii="Verdana" w:hAnsi="Verdana"/>
          <w:sz w:val="20"/>
          <w:szCs w:val="20"/>
          <w:lang w:val="en-US"/>
        </w:rPr>
        <w:t>Min</w:t>
      </w:r>
      <w:r w:rsidRPr="00BE536E">
        <w:rPr>
          <w:rFonts w:ascii="Verdana" w:hAnsi="Verdana"/>
          <w:sz w:val="20"/>
          <w:szCs w:val="20"/>
        </w:rPr>
        <w:t xml:space="preserve">(α), максимального значения кредитного спреда - </w:t>
      </w:r>
      <w:r w:rsidRPr="00BE536E">
        <w:rPr>
          <w:rFonts w:ascii="Verdana" w:hAnsi="Verdana"/>
          <w:sz w:val="20"/>
          <w:szCs w:val="20"/>
          <w:lang w:val="en-US"/>
        </w:rPr>
        <w:t>Max</w:t>
      </w:r>
      <w:r w:rsidRPr="00BE536E">
        <w:rPr>
          <w:rFonts w:ascii="Verdana" w:hAnsi="Verdana"/>
          <w:sz w:val="20"/>
          <w:szCs w:val="20"/>
        </w:rPr>
        <w:t xml:space="preserve"> (β)) выполняется для </w:t>
      </w:r>
      <w:r w:rsidRPr="00BE536E">
        <w:rPr>
          <w:rFonts w:ascii="Verdana" w:hAnsi="Verdana"/>
          <w:sz w:val="20"/>
          <w:szCs w:val="20"/>
          <w:lang w:val="en-US"/>
        </w:rPr>
        <w:t>I</w:t>
      </w:r>
      <w:r w:rsidRPr="00BE536E">
        <w:rPr>
          <w:rFonts w:ascii="Verdana" w:hAnsi="Verdana"/>
          <w:sz w:val="20"/>
          <w:szCs w:val="20"/>
        </w:rPr>
        <w:t xml:space="preserve">, </w:t>
      </w:r>
      <w:r w:rsidRPr="00BE536E">
        <w:rPr>
          <w:rFonts w:ascii="Verdana" w:hAnsi="Verdana"/>
          <w:sz w:val="20"/>
          <w:szCs w:val="20"/>
          <w:lang w:val="en-US"/>
        </w:rPr>
        <w:t>II</w:t>
      </w:r>
      <w:r w:rsidRPr="00BE536E">
        <w:rPr>
          <w:rFonts w:ascii="Verdana" w:hAnsi="Verdana"/>
          <w:sz w:val="20"/>
          <w:szCs w:val="20"/>
        </w:rPr>
        <w:t xml:space="preserve">, </w:t>
      </w:r>
      <w:r w:rsidRPr="00BE536E">
        <w:rPr>
          <w:rFonts w:ascii="Verdana" w:hAnsi="Verdana"/>
          <w:sz w:val="20"/>
          <w:szCs w:val="20"/>
          <w:lang w:val="en-US"/>
        </w:rPr>
        <w:t>III</w:t>
      </w:r>
      <w:r w:rsidRPr="00BE536E">
        <w:rPr>
          <w:rFonts w:ascii="Verdana" w:hAnsi="Verdana"/>
          <w:sz w:val="20"/>
          <w:szCs w:val="20"/>
        </w:rPr>
        <w:t xml:space="preserve"> </w:t>
      </w:r>
      <w:r w:rsidRPr="00BE536E">
        <w:rPr>
          <w:rFonts w:ascii="Verdana" w:hAnsi="Verdana"/>
          <w:sz w:val="20"/>
          <w:szCs w:val="20"/>
        </w:rPr>
        <w:lastRenderedPageBreak/>
        <w:t>рейтинговой группы исходя из значений медианных кредитных спредов соответствующей рейтинговой группы в соответствии с Таблицей 2 с учетом премии за субординированность (если применимо к анализируемому инструменту).</w:t>
      </w:r>
    </w:p>
    <w:p w14:paraId="4FEED07A" w14:textId="77777777" w:rsidR="00BA43DC" w:rsidRPr="00BE536E" w:rsidRDefault="00BA43DC" w:rsidP="00BA43DC">
      <w:pPr>
        <w:spacing w:after="0" w:line="312" w:lineRule="auto"/>
        <w:jc w:val="both"/>
        <w:rPr>
          <w:rFonts w:ascii="Verdana" w:hAnsi="Verdana"/>
          <w:sz w:val="20"/>
          <w:szCs w:val="20"/>
        </w:rPr>
      </w:pPr>
    </w:p>
    <w:p w14:paraId="17C0BCA7"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Итоговые диапазоны кредитных спредов приведены в Таблице 2.</w:t>
      </w:r>
    </w:p>
    <w:p w14:paraId="58121CD9"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Расчет диапазона кредитных спредов для IV рейтинговой группы не выполняется.</w:t>
      </w:r>
    </w:p>
    <w:p w14:paraId="49E983ED" w14:textId="77777777" w:rsidR="00BA43DC" w:rsidRPr="00BE536E" w:rsidRDefault="00BA43DC" w:rsidP="00BA43DC">
      <w:pPr>
        <w:spacing w:line="312" w:lineRule="auto"/>
        <w:contextualSpacing/>
        <w:jc w:val="both"/>
        <w:rPr>
          <w:rFonts w:ascii="Verdana" w:hAnsi="Verdana"/>
          <w:b/>
          <w:bCs/>
          <w:sz w:val="20"/>
          <w:szCs w:val="20"/>
        </w:rPr>
      </w:pPr>
      <w:r w:rsidRPr="00BE536E">
        <w:rPr>
          <w:rFonts w:ascii="Verdana" w:hAnsi="Verdana"/>
          <w:b/>
          <w:sz w:val="20"/>
          <w:szCs w:val="20"/>
        </w:rPr>
        <w:t>Таблица 2. Диапазон кредитных спредов рейтинговых групп.</w:t>
      </w:r>
    </w:p>
    <w:tbl>
      <w:tblPr>
        <w:tblW w:w="0" w:type="auto"/>
        <w:tblLook w:val="04A0" w:firstRow="1" w:lastRow="0" w:firstColumn="1" w:lastColumn="0" w:noHBand="0" w:noVBand="1"/>
      </w:tblPr>
      <w:tblGrid>
        <w:gridCol w:w="3369"/>
        <w:gridCol w:w="2835"/>
        <w:gridCol w:w="3367"/>
      </w:tblGrid>
      <w:tr w:rsidR="00BA43DC" w:rsidRPr="00BE536E" w14:paraId="57262FC3"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E7705CC" w14:textId="77777777" w:rsidR="00BA43DC" w:rsidRPr="00BE536E" w:rsidRDefault="00BA43DC">
            <w:pPr>
              <w:tabs>
                <w:tab w:val="left" w:pos="567"/>
              </w:tabs>
              <w:spacing w:line="312" w:lineRule="auto"/>
              <w:contextualSpacing/>
              <w:jc w:val="center"/>
              <w:rPr>
                <w:rFonts w:ascii="Verdana" w:hAnsi="Verdana"/>
                <w:sz w:val="20"/>
                <w:szCs w:val="20"/>
              </w:rPr>
            </w:pPr>
            <w:r w:rsidRPr="00BE536E">
              <w:rPr>
                <w:rFonts w:ascii="Verdana" w:hAnsi="Verdana"/>
                <w:sz w:val="20"/>
                <w:szCs w:val="20"/>
              </w:rPr>
              <w:t>Диапазон кредитных спредов</w:t>
            </w:r>
          </w:p>
        </w:tc>
      </w:tr>
      <w:tr w:rsidR="00BA43DC" w:rsidRPr="00BE536E" w14:paraId="7A60A502"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6F031EB5"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Min (α)</w:t>
            </w:r>
          </w:p>
        </w:tc>
        <w:tc>
          <w:tcPr>
            <w:tcW w:w="2835" w:type="dxa"/>
            <w:tcBorders>
              <w:top w:val="single" w:sz="4" w:space="0" w:color="auto"/>
              <w:left w:val="single" w:sz="4" w:space="0" w:color="auto"/>
              <w:bottom w:val="single" w:sz="4" w:space="0" w:color="auto"/>
              <w:right w:val="single" w:sz="4" w:space="0" w:color="auto"/>
            </w:tcBorders>
            <w:hideMark/>
          </w:tcPr>
          <w:p w14:paraId="65BE01E8"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Медиана</w:t>
            </w:r>
          </w:p>
        </w:tc>
        <w:tc>
          <w:tcPr>
            <w:tcW w:w="3367" w:type="dxa"/>
            <w:tcBorders>
              <w:top w:val="single" w:sz="4" w:space="0" w:color="auto"/>
              <w:left w:val="single" w:sz="4" w:space="0" w:color="auto"/>
              <w:bottom w:val="single" w:sz="4" w:space="0" w:color="auto"/>
              <w:right w:val="single" w:sz="4" w:space="0" w:color="auto"/>
            </w:tcBorders>
            <w:hideMark/>
          </w:tcPr>
          <w:p w14:paraId="455C20BC"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Max (β)</w:t>
            </w:r>
          </w:p>
        </w:tc>
      </w:tr>
      <w:tr w:rsidR="00BA43DC" w:rsidRPr="00BE536E" w14:paraId="735BA111"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68A74053"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Рейтинговая группа I</w:t>
            </w:r>
          </w:p>
        </w:tc>
      </w:tr>
      <w:tr w:rsidR="00BA43DC" w:rsidRPr="00BE536E" w14:paraId="07651A80"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1D3EFF1E"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lang w:val="en-US"/>
              </w:rPr>
              <w:t xml:space="preserve">0 </w:t>
            </w:r>
            <w:r w:rsidRPr="00BE536E">
              <w:rPr>
                <w:rFonts w:ascii="Verdana" w:hAnsi="Verdana"/>
                <w:sz w:val="20"/>
                <w:szCs w:val="20"/>
              </w:rPr>
              <w:t>+ премия</w:t>
            </w:r>
          </w:p>
        </w:tc>
        <w:tc>
          <w:tcPr>
            <w:tcW w:w="2835" w:type="dxa"/>
            <w:tcBorders>
              <w:top w:val="single" w:sz="4" w:space="0" w:color="auto"/>
              <w:left w:val="single" w:sz="4" w:space="0" w:color="auto"/>
              <w:bottom w:val="single" w:sz="4" w:space="0" w:color="auto"/>
              <w:right w:val="single" w:sz="4" w:space="0" w:color="auto"/>
            </w:tcBorders>
            <w:hideMark/>
          </w:tcPr>
          <w:p w14:paraId="14CDD1C8" w14:textId="77777777" w:rsidR="00BA43DC" w:rsidRPr="00BE536E" w:rsidRDefault="00A3154D">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36F59BC1" w14:textId="77777777" w:rsidR="00BA43DC" w:rsidRPr="00BE536E" w:rsidRDefault="00A3154D">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r>
      <w:tr w:rsidR="00BA43DC" w:rsidRPr="00BE536E" w14:paraId="0B10C05D"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4CB65CBE" w14:textId="77777777" w:rsidR="00BA43DC" w:rsidRPr="00BE536E" w:rsidRDefault="00BA43DC">
            <w:pPr>
              <w:tabs>
                <w:tab w:val="left" w:pos="567"/>
              </w:tabs>
              <w:spacing w:line="312" w:lineRule="auto"/>
              <w:contextualSpacing/>
              <w:rPr>
                <w:rFonts w:ascii="Verdana" w:hAnsi="Verdana"/>
                <w:sz w:val="20"/>
                <w:szCs w:val="20"/>
                <w:lang w:val="en-US"/>
              </w:rPr>
            </w:pPr>
            <w:r w:rsidRPr="00BE536E">
              <w:rPr>
                <w:rFonts w:ascii="Verdana" w:hAnsi="Verdana"/>
                <w:sz w:val="20"/>
                <w:szCs w:val="20"/>
              </w:rPr>
              <w:t>Рейтинговая группа I</w:t>
            </w:r>
            <w:r w:rsidRPr="00BE536E">
              <w:rPr>
                <w:rFonts w:ascii="Verdana" w:hAnsi="Verdana"/>
                <w:sz w:val="20"/>
                <w:szCs w:val="20"/>
                <w:lang w:val="en-US"/>
              </w:rPr>
              <w:t>I</w:t>
            </w:r>
          </w:p>
        </w:tc>
      </w:tr>
      <w:tr w:rsidR="00BA43DC" w:rsidRPr="00BE536E" w14:paraId="6C7BDF80"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1CB0735F" w14:textId="77777777" w:rsidR="00BA43DC" w:rsidRPr="00BE536E" w:rsidRDefault="00A3154D">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2835" w:type="dxa"/>
            <w:tcBorders>
              <w:top w:val="single" w:sz="4" w:space="0" w:color="auto"/>
              <w:left w:val="single" w:sz="4" w:space="0" w:color="auto"/>
              <w:bottom w:val="single" w:sz="4" w:space="0" w:color="auto"/>
              <w:right w:val="single" w:sz="4" w:space="0" w:color="auto"/>
            </w:tcBorders>
            <w:hideMark/>
          </w:tcPr>
          <w:p w14:paraId="3846D735" w14:textId="77777777" w:rsidR="00BA43DC" w:rsidRPr="00BE536E" w:rsidRDefault="00A3154D">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r>
                    <m:rPr>
                      <m:sty m:val="b"/>
                    </m:rPr>
                    <w:rPr>
                      <w:rFonts w:ascii="Cambria Math" w:hAnsi="Cambria Math"/>
                      <w:sz w:val="20"/>
                      <w:szCs w:val="20"/>
                      <w:lang w:val="en-US"/>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10BAE1FA" w14:textId="77777777" w:rsidR="00BA43DC" w:rsidRPr="00BE536E" w:rsidRDefault="00BA43DC">
            <w:pPr>
              <w:tabs>
                <w:tab w:val="left" w:pos="567"/>
              </w:tabs>
              <w:spacing w:line="312" w:lineRule="auto"/>
              <w:contextualSpacing/>
              <w:rPr>
                <w:rFonts w:ascii="Verdana" w:hAnsi="Verdana"/>
                <w:sz w:val="20"/>
                <w:szCs w:val="20"/>
              </w:rPr>
            </w:pPr>
            <m:oMath>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m:t>
                  </m:r>
                  <m:r>
                    <m:rPr>
                      <m:sty m:val="b"/>
                    </m:rPr>
                    <w:rPr>
                      <w:rFonts w:ascii="Cambria Math" w:hAnsi="Cambria Math"/>
                      <w:sz w:val="20"/>
                      <w:szCs w:val="20"/>
                      <w:lang w:val="en-US"/>
                    </w:rPr>
                    <m:t>I</m:t>
                  </m:r>
                </m:sub>
                <m:sup>
                  <m:r>
                    <m:rPr>
                      <m:sty m:val="bi"/>
                    </m:rPr>
                    <w:rPr>
                      <w:rFonts w:ascii="Cambria Math" w:hAnsi="Cambria Math"/>
                      <w:sz w:val="20"/>
                      <w:szCs w:val="20"/>
                    </w:rPr>
                    <m:t>m</m:t>
                  </m:r>
                </m:sup>
              </m:sSubSup>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rPr>
                    <m:t>РГI</m:t>
                  </m:r>
                </m:sub>
                <m:sup>
                  <m:r>
                    <m:rPr>
                      <m:sty m:val="bi"/>
                    </m:rPr>
                    <w:rPr>
                      <w:rFonts w:ascii="Cambria Math" w:hAnsi="Cambria Math"/>
                      <w:sz w:val="20"/>
                      <w:szCs w:val="20"/>
                    </w:rPr>
                    <m:t>m</m:t>
                  </m:r>
                </m:sup>
              </m:sSubSup>
              <m:r>
                <m:rPr>
                  <m:sty m:val="bi"/>
                </m:rPr>
                <w:rPr>
                  <w:rFonts w:ascii="Cambria Math" w:hAnsi="Cambria Math"/>
                  <w:sz w:val="20"/>
                  <w:szCs w:val="20"/>
                </w:rPr>
                <m:t>)</m:t>
              </m:r>
            </m:oMath>
            <w:r w:rsidRPr="00BE536E">
              <w:rPr>
                <w:rFonts w:ascii="Verdana" w:hAnsi="Verdana"/>
                <w:sz w:val="20"/>
                <w:szCs w:val="20"/>
              </w:rPr>
              <w:t xml:space="preserve"> + премия</w:t>
            </w:r>
          </w:p>
        </w:tc>
      </w:tr>
      <w:tr w:rsidR="00BA43DC" w:rsidRPr="00BE536E" w14:paraId="3DF93F11"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673A2DBB"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Рейтинговая группа I</w:t>
            </w:r>
            <w:r w:rsidRPr="00BE536E">
              <w:rPr>
                <w:rFonts w:ascii="Verdana" w:hAnsi="Verdana"/>
                <w:sz w:val="20"/>
                <w:szCs w:val="20"/>
                <w:lang w:val="en-US"/>
              </w:rPr>
              <w:t>II</w:t>
            </w:r>
          </w:p>
        </w:tc>
      </w:tr>
      <w:tr w:rsidR="00BA43DC" w:rsidRPr="00BE536E" w14:paraId="3729FD58"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1DF54ABE" w14:textId="77777777" w:rsidR="00BA43DC" w:rsidRPr="00BE536E" w:rsidRDefault="00A3154D">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r>
                    <m:rPr>
                      <m:sty m:val="b"/>
                    </m:rPr>
                    <w:rPr>
                      <w:rFonts w:ascii="Cambria Math" w:hAnsi="Cambria Math"/>
                      <w:sz w:val="20"/>
                      <w:szCs w:val="20"/>
                      <w:lang w:val="en-US"/>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2835" w:type="dxa"/>
            <w:tcBorders>
              <w:top w:val="single" w:sz="4" w:space="0" w:color="auto"/>
              <w:left w:val="single" w:sz="4" w:space="0" w:color="auto"/>
              <w:bottom w:val="single" w:sz="4" w:space="0" w:color="auto"/>
              <w:right w:val="single" w:sz="4" w:space="0" w:color="auto"/>
            </w:tcBorders>
            <w:hideMark/>
          </w:tcPr>
          <w:p w14:paraId="66410D26" w14:textId="77777777" w:rsidR="00BA43DC" w:rsidRPr="00BE536E" w:rsidRDefault="00A3154D">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III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68A2587F" w14:textId="77777777" w:rsidR="00BA43DC" w:rsidRPr="00BE536E" w:rsidRDefault="00BA43DC">
            <w:pPr>
              <w:tabs>
                <w:tab w:val="left" w:pos="567"/>
              </w:tabs>
              <w:spacing w:line="312" w:lineRule="auto"/>
              <w:contextualSpacing/>
              <w:rPr>
                <w:rFonts w:ascii="Verdana" w:hAnsi="Verdana"/>
                <w:sz w:val="20"/>
                <w:szCs w:val="20"/>
              </w:rPr>
            </w:pPr>
            <m:oMath>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РГII</m:t>
                  </m:r>
                  <m:r>
                    <m:rPr>
                      <m:sty m:val="b"/>
                    </m:rPr>
                    <w:rPr>
                      <w:rFonts w:ascii="Cambria Math" w:hAnsi="Cambria Math"/>
                      <w:sz w:val="20"/>
                      <w:szCs w:val="20"/>
                      <w:lang w:val="en-US"/>
                    </w:rPr>
                    <m:t>I</m:t>
                  </m:r>
                </m:sub>
                <m:sup>
                  <m:r>
                    <m:rPr>
                      <m:sty m:val="bi"/>
                    </m:rPr>
                    <w:rPr>
                      <w:rFonts w:ascii="Cambria Math" w:hAnsi="Cambria Math"/>
                      <w:sz w:val="20"/>
                      <w:szCs w:val="20"/>
                    </w:rPr>
                    <m:t>m</m:t>
                  </m:r>
                </m:sup>
              </m:sSubSup>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rPr>
                    <m:t>РГII</m:t>
                  </m:r>
                </m:sub>
                <m:sup>
                  <m:r>
                    <m:rPr>
                      <m:sty m:val="bi"/>
                    </m:rPr>
                    <w:rPr>
                      <w:rFonts w:ascii="Cambria Math" w:hAnsi="Cambria Math"/>
                      <w:sz w:val="20"/>
                      <w:szCs w:val="20"/>
                    </w:rPr>
                    <m:t>m</m:t>
                  </m:r>
                </m:sup>
              </m:sSubSup>
              <m:r>
                <m:rPr>
                  <m:sty m:val="bi"/>
                </m:rPr>
                <w:rPr>
                  <w:rFonts w:ascii="Cambria Math" w:hAnsi="Cambria Math"/>
                  <w:sz w:val="20"/>
                  <w:szCs w:val="20"/>
                </w:rPr>
                <m:t>)</m:t>
              </m:r>
            </m:oMath>
            <w:r w:rsidRPr="00BE536E">
              <w:rPr>
                <w:rFonts w:ascii="Verdana" w:hAnsi="Verdana"/>
                <w:sz w:val="20"/>
                <w:szCs w:val="20"/>
              </w:rPr>
              <w:t xml:space="preserve"> + премия</w:t>
            </w:r>
          </w:p>
        </w:tc>
      </w:tr>
    </w:tbl>
    <w:p w14:paraId="60E8E073" w14:textId="77777777" w:rsidR="00BA43DC" w:rsidRPr="00BE536E" w:rsidRDefault="00BA43DC" w:rsidP="00BA43DC">
      <w:pPr>
        <w:spacing w:line="312" w:lineRule="auto"/>
        <w:contextualSpacing/>
        <w:jc w:val="both"/>
        <w:rPr>
          <w:rFonts w:ascii="Verdana" w:hAnsi="Verdana"/>
          <w:sz w:val="20"/>
          <w:szCs w:val="20"/>
        </w:rPr>
      </w:pPr>
    </w:p>
    <w:p w14:paraId="60F7808E" w14:textId="77777777" w:rsidR="00BA43DC" w:rsidRPr="00BE536E" w:rsidRDefault="00BA43DC" w:rsidP="00BA43DC">
      <w:pPr>
        <w:spacing w:after="0" w:line="312" w:lineRule="auto"/>
        <w:ind w:left="567"/>
        <w:contextualSpacing/>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w:t>
      </w:r>
    </w:p>
    <w:p w14:paraId="64FFEFF7" w14:textId="549CA059" w:rsidR="00567222" w:rsidRPr="00BE536E" w:rsidRDefault="00BA43DC" w:rsidP="00BE536E">
      <w:pPr>
        <w:spacing w:after="0" w:line="240" w:lineRule="auto"/>
        <w:rPr>
          <w:sz w:val="24"/>
          <w:szCs w:val="24"/>
        </w:rPr>
      </w:pPr>
      <w:r w:rsidRPr="00BE536E">
        <w:rPr>
          <w:rFonts w:ascii="Verdana" w:hAnsi="Verdana"/>
          <w:sz w:val="20"/>
          <w:szCs w:val="20"/>
        </w:rPr>
        <w:t>В Таблице 2 значение показателя «премия» принимается равным значению премии за субординированность для субординированных депозитов и субординированных облигаций кредитных организаций в случае отсутствия рейтинга выпуска, и равным 0 в остальных случаях</w:t>
      </w:r>
      <w:r w:rsidR="00B8682F" w:rsidRPr="00BE536E">
        <w:rPr>
          <w:sz w:val="24"/>
          <w:szCs w:val="24"/>
        </w:rPr>
        <w:t>.</w:t>
      </w:r>
    </w:p>
    <w:p w14:paraId="332E8E6F" w14:textId="1C1B1863" w:rsidR="00783DBD" w:rsidRPr="00BE536E" w:rsidRDefault="00783DBD" w:rsidP="00567222">
      <w:pPr>
        <w:spacing w:line="360" w:lineRule="auto"/>
        <w:ind w:firstLine="426"/>
        <w:rPr>
          <w:sz w:val="24"/>
          <w:szCs w:val="24"/>
        </w:rPr>
      </w:pPr>
    </w:p>
    <w:p w14:paraId="56833C32" w14:textId="03A926C8" w:rsidR="00783DBD" w:rsidRPr="00BE536E" w:rsidRDefault="00783DBD" w:rsidP="00567222">
      <w:pPr>
        <w:spacing w:line="360" w:lineRule="auto"/>
        <w:ind w:firstLine="426"/>
        <w:rPr>
          <w:sz w:val="24"/>
          <w:szCs w:val="24"/>
        </w:rPr>
      </w:pPr>
    </w:p>
    <w:p w14:paraId="0B416741" w14:textId="6722DC9D" w:rsidR="00783DBD" w:rsidRPr="00BE536E" w:rsidRDefault="00783DBD" w:rsidP="00567222">
      <w:pPr>
        <w:spacing w:line="360" w:lineRule="auto"/>
        <w:ind w:firstLine="426"/>
        <w:rPr>
          <w:sz w:val="24"/>
          <w:szCs w:val="24"/>
        </w:rPr>
      </w:pPr>
    </w:p>
    <w:p w14:paraId="3F764F1F" w14:textId="38C63B2B" w:rsidR="00783DBD" w:rsidRPr="00BE536E" w:rsidRDefault="00783DBD" w:rsidP="00567222">
      <w:pPr>
        <w:spacing w:line="360" w:lineRule="auto"/>
        <w:ind w:firstLine="426"/>
        <w:rPr>
          <w:sz w:val="24"/>
          <w:szCs w:val="24"/>
        </w:rPr>
      </w:pPr>
    </w:p>
    <w:p w14:paraId="27D8B178" w14:textId="3F1D220F" w:rsidR="00783DBD" w:rsidRPr="00BE536E" w:rsidRDefault="00783DBD" w:rsidP="00567222">
      <w:pPr>
        <w:spacing w:line="360" w:lineRule="auto"/>
        <w:ind w:firstLine="426"/>
        <w:rPr>
          <w:sz w:val="24"/>
          <w:szCs w:val="24"/>
        </w:rPr>
      </w:pPr>
    </w:p>
    <w:p w14:paraId="5BB06EA4" w14:textId="1A917793" w:rsidR="00783DBD" w:rsidRPr="00BE536E" w:rsidRDefault="00783DBD" w:rsidP="00567222">
      <w:pPr>
        <w:spacing w:line="360" w:lineRule="auto"/>
        <w:ind w:firstLine="426"/>
        <w:rPr>
          <w:sz w:val="24"/>
          <w:szCs w:val="24"/>
        </w:rPr>
      </w:pPr>
    </w:p>
    <w:p w14:paraId="59A50EC1" w14:textId="2C33DF7A" w:rsidR="00783DBD" w:rsidRPr="00BE536E" w:rsidRDefault="00783DBD" w:rsidP="00567222">
      <w:pPr>
        <w:spacing w:line="360" w:lineRule="auto"/>
        <w:ind w:firstLine="426"/>
        <w:rPr>
          <w:sz w:val="24"/>
          <w:szCs w:val="24"/>
        </w:rPr>
      </w:pPr>
    </w:p>
    <w:p w14:paraId="5D110B3C" w14:textId="77777777" w:rsidR="00783DBD" w:rsidRPr="00BE536E" w:rsidRDefault="00783DBD" w:rsidP="00567222">
      <w:pPr>
        <w:spacing w:line="360" w:lineRule="auto"/>
        <w:ind w:firstLine="426"/>
        <w:rPr>
          <w:sz w:val="24"/>
          <w:szCs w:val="24"/>
        </w:rPr>
      </w:pPr>
    </w:p>
    <w:p w14:paraId="368A089F" w14:textId="77777777" w:rsidR="00A574FA" w:rsidRDefault="00A574FA" w:rsidP="00BE536E">
      <w:pPr>
        <w:spacing w:line="360" w:lineRule="auto"/>
        <w:rPr>
          <w:sz w:val="24"/>
          <w:szCs w:val="24"/>
        </w:rPr>
      </w:pPr>
    </w:p>
    <w:p w14:paraId="6B10F8EA" w14:textId="77777777" w:rsidR="00F20F93" w:rsidRDefault="00F20F93" w:rsidP="00BE536E">
      <w:pPr>
        <w:spacing w:line="360" w:lineRule="auto"/>
        <w:rPr>
          <w:sz w:val="24"/>
          <w:szCs w:val="24"/>
        </w:rPr>
      </w:pPr>
    </w:p>
    <w:bookmarkEnd w:id="35"/>
    <w:p w14:paraId="1BD88D83" w14:textId="3BC2D7A9" w:rsidR="00567222" w:rsidRPr="00BE536E" w:rsidRDefault="00634895" w:rsidP="00D05311">
      <w:pPr>
        <w:pStyle w:val="10"/>
        <w:numPr>
          <w:ilvl w:val="0"/>
          <w:numId w:val="0"/>
        </w:numPr>
        <w:jc w:val="both"/>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F20F93" w:rsidRPr="00BE536E">
        <w:rPr>
          <w:rFonts w:ascii="Verdana" w:hAnsi="Verdana" w:cs="Arial"/>
          <w:b w:val="0"/>
          <w:bCs w:val="0"/>
          <w:iCs w:val="0"/>
          <w:caps/>
          <w:smallCaps w:val="0"/>
          <w:color w:val="943634"/>
          <w:sz w:val="24"/>
        </w:rPr>
        <w:t>3</w:t>
      </w:r>
      <w:r w:rsidR="00F20F93">
        <w:rPr>
          <w:rFonts w:ascii="Verdana" w:hAnsi="Verdana" w:cs="Arial"/>
          <w:b w:val="0"/>
          <w:bCs w:val="0"/>
          <w:iCs w:val="0"/>
          <w:caps/>
          <w:smallCaps w:val="0"/>
          <w:color w:val="943634"/>
          <w:sz w:val="24"/>
        </w:rPr>
        <w:t>1</w:t>
      </w:r>
      <w:r w:rsidRPr="00BE536E">
        <w:rPr>
          <w:rFonts w:ascii="Verdana" w:hAnsi="Verdana" w:cs="Arial"/>
          <w:b w:val="0"/>
          <w:bCs w:val="0"/>
          <w:iCs w:val="0"/>
          <w:caps/>
          <w:smallCaps w:val="0"/>
          <w:color w:val="943634"/>
          <w:sz w:val="24"/>
        </w:rPr>
        <w:t xml:space="preserve">. </w:t>
      </w:r>
      <w:r w:rsidR="00567222" w:rsidRPr="00BE536E">
        <w:rPr>
          <w:rFonts w:ascii="Verdana" w:hAnsi="Verdana" w:cs="Arial"/>
          <w:iCs w:val="0"/>
          <w:caps/>
          <w:smallCaps w:val="0"/>
          <w:color w:val="943634"/>
          <w:sz w:val="24"/>
        </w:rPr>
        <w:t>Порядок конвертации стоимостей, выраженных в одной валюте, в валюту определения СЧА</w:t>
      </w:r>
    </w:p>
    <w:p w14:paraId="5DB98DEA" w14:textId="77777777" w:rsidR="00567222" w:rsidRPr="00BE536E" w:rsidRDefault="00567222" w:rsidP="00D05311">
      <w:pPr>
        <w:numPr>
          <w:ilvl w:val="0"/>
          <w:numId w:val="82"/>
        </w:numPr>
        <w:suppressAutoHyphens/>
        <w:autoSpaceDE w:val="0"/>
        <w:autoSpaceDN w:val="0"/>
        <w:adjustRightInd w:val="0"/>
        <w:spacing w:after="0" w:line="360" w:lineRule="auto"/>
        <w:jc w:val="both"/>
        <w:rPr>
          <w:b/>
          <w:color w:val="000000" w:themeColor="text1"/>
          <w:sz w:val="24"/>
          <w:szCs w:val="24"/>
          <w:lang w:eastAsia="ru-RU"/>
        </w:rPr>
      </w:pPr>
      <w:r w:rsidRPr="00BE536E">
        <w:rPr>
          <w:b/>
          <w:color w:val="000000" w:themeColor="text1"/>
          <w:sz w:val="24"/>
          <w:szCs w:val="24"/>
          <w:lang w:eastAsia="ru-RU"/>
        </w:rPr>
        <w:t>Стоимость чистых активов и расчетная стоимость инвестиционного пая определяются в рублях.</w:t>
      </w:r>
    </w:p>
    <w:p w14:paraId="3286341B" w14:textId="77777777" w:rsidR="00567222" w:rsidRPr="00BE536E" w:rsidRDefault="00567222" w:rsidP="00567222">
      <w:pPr>
        <w:pStyle w:val="ConsTitle"/>
        <w:widowControl/>
        <w:spacing w:line="360" w:lineRule="auto"/>
        <w:jc w:val="both"/>
        <w:rPr>
          <w:rFonts w:ascii="Times New Roman" w:eastAsia="Times New Roman" w:hAnsi="Times New Roman" w:cs="Times New Roman"/>
          <w:b w:val="0"/>
          <w:bCs w:val="0"/>
          <w:sz w:val="24"/>
          <w:szCs w:val="24"/>
        </w:rPr>
      </w:pPr>
      <w:r w:rsidRPr="00BE536E">
        <w:rPr>
          <w:rFonts w:ascii="Times New Roman" w:eastAsia="Times New Roman" w:hAnsi="Times New Roman" w:cs="Times New Roman"/>
          <w:b w:val="0"/>
          <w:bCs w:val="0"/>
          <w:sz w:val="24"/>
          <w:szCs w:val="24"/>
        </w:rPr>
        <w:t xml:space="preserve">Стоимость активов и величина обязательств, выраженная в иностранной валюте, принимается в расчет СЧА в рублях по биржевому курсу закрытия (TOD) ПАО «Московская биржа» на дату определения их справедливой стоимости. В случае отсутствия биржевого курса закрытия (TOD) ПАО «Московская биржа» на дату определения СЧА, используется  биржевой курс закрытия (TOM) ПАО «Московская биржа». Если на дату определения СЧА для валюты не определяются биржевые курсы закрытия TOD и TOM ПАО «Московская биржа», для целей оценки применяется   курс Центрального банка Российской Федерации (далее – Банка России).  </w:t>
      </w:r>
    </w:p>
    <w:p w14:paraId="6189D170" w14:textId="77777777" w:rsidR="00567222" w:rsidRPr="00BE536E" w:rsidRDefault="00567222" w:rsidP="00567222">
      <w:pPr>
        <w:spacing w:line="360" w:lineRule="auto"/>
        <w:ind w:firstLine="708"/>
        <w:jc w:val="both"/>
        <w:rPr>
          <w:sz w:val="24"/>
          <w:szCs w:val="24"/>
        </w:rPr>
      </w:pPr>
      <w:r w:rsidRPr="00BE536E">
        <w:rPr>
          <w:sz w:val="24"/>
          <w:szCs w:val="24"/>
        </w:rPr>
        <w:t>Если на дату определения СЧА для иностранной валюты не установлены биржевые курсы закрытия TOD и TOM ПАО «Московская биржа», а также не установлен курс Банка России,  для пересчета в рубли РФ используется кросс-курс, определяемый следующим образом:</w:t>
      </w:r>
    </w:p>
    <w:p w14:paraId="7F34A986" w14:textId="77777777" w:rsidR="00567222" w:rsidRPr="00BE536E" w:rsidRDefault="00567222" w:rsidP="007838E0">
      <w:pPr>
        <w:spacing w:after="0"/>
        <w:jc w:val="both"/>
        <w:rPr>
          <w:sz w:val="24"/>
          <w:szCs w:val="24"/>
        </w:rPr>
      </w:pPr>
      <w:r w:rsidRPr="00BE536E">
        <w:rPr>
          <w:sz w:val="24"/>
          <w:szCs w:val="24"/>
        </w:rPr>
        <w:t xml:space="preserve">                         Кросс курс = CUR/USD * USD/RUR,</w:t>
      </w:r>
    </w:p>
    <w:p w14:paraId="225872D7" w14:textId="77777777" w:rsidR="00567222" w:rsidRPr="00BE536E" w:rsidRDefault="00567222" w:rsidP="007838E0">
      <w:pPr>
        <w:spacing w:after="0"/>
        <w:jc w:val="both"/>
        <w:rPr>
          <w:sz w:val="24"/>
          <w:szCs w:val="24"/>
        </w:rPr>
      </w:pPr>
      <w:r w:rsidRPr="00BE536E">
        <w:rPr>
          <w:sz w:val="24"/>
          <w:szCs w:val="24"/>
        </w:rPr>
        <w:t>где:</w:t>
      </w:r>
    </w:p>
    <w:p w14:paraId="363A7102" w14:textId="77777777" w:rsidR="00567222" w:rsidRPr="00BE536E" w:rsidRDefault="00567222" w:rsidP="007838E0">
      <w:pPr>
        <w:spacing w:after="0"/>
        <w:ind w:firstLine="708"/>
        <w:jc w:val="both"/>
        <w:rPr>
          <w:sz w:val="24"/>
          <w:szCs w:val="24"/>
        </w:rPr>
      </w:pPr>
      <w:r w:rsidRPr="00BE536E">
        <w:rPr>
          <w:sz w:val="24"/>
          <w:szCs w:val="24"/>
        </w:rPr>
        <w:t>USD/RUR –курс доллара США (</w:t>
      </w:r>
      <w:r w:rsidRPr="00BE536E">
        <w:rPr>
          <w:sz w:val="24"/>
          <w:szCs w:val="24"/>
          <w:lang w:val="en-US"/>
        </w:rPr>
        <w:t>TOD</w:t>
      </w:r>
      <w:r w:rsidRPr="00BE536E">
        <w:rPr>
          <w:sz w:val="24"/>
          <w:szCs w:val="24"/>
        </w:rPr>
        <w:t xml:space="preserve">, </w:t>
      </w:r>
      <w:r w:rsidRPr="00BE536E">
        <w:rPr>
          <w:sz w:val="24"/>
          <w:szCs w:val="24"/>
          <w:lang w:val="en-US"/>
        </w:rPr>
        <w:t>TOM</w:t>
      </w:r>
      <w:r w:rsidRPr="00BE536E">
        <w:rPr>
          <w:sz w:val="24"/>
          <w:szCs w:val="24"/>
        </w:rPr>
        <w:t xml:space="preserve"> или курс Банка России в соответствии с ранее установленным порядком выбора курса), на дату расчета СЧА;</w:t>
      </w:r>
    </w:p>
    <w:p w14:paraId="7B0E1777" w14:textId="77777777" w:rsidR="00567222" w:rsidRPr="00BE536E" w:rsidRDefault="00567222" w:rsidP="007838E0">
      <w:pPr>
        <w:spacing w:after="0"/>
        <w:jc w:val="both"/>
        <w:rPr>
          <w:sz w:val="24"/>
          <w:szCs w:val="24"/>
        </w:rPr>
      </w:pPr>
    </w:p>
    <w:p w14:paraId="66A723D8" w14:textId="77777777" w:rsidR="00567222" w:rsidRPr="00BE536E" w:rsidRDefault="00567222" w:rsidP="007838E0">
      <w:pPr>
        <w:spacing w:after="0"/>
        <w:jc w:val="both"/>
        <w:rPr>
          <w:sz w:val="24"/>
          <w:szCs w:val="24"/>
        </w:rPr>
      </w:pPr>
      <w:r w:rsidRPr="00BE536E">
        <w:rPr>
          <w:sz w:val="24"/>
          <w:szCs w:val="24"/>
        </w:rPr>
        <w:t xml:space="preserve">         CUR/USD – курс BGN (Last Price) валюты, в которой выражена стоимость активов (обязательств), к Доллару США, раскрываемый информационной системой "Блумберг" (Bloomberg) на дату определения СЧА.</w:t>
      </w:r>
    </w:p>
    <w:p w14:paraId="3516F9CC" w14:textId="77777777" w:rsidR="00567222" w:rsidRPr="00BE536E" w:rsidRDefault="00567222" w:rsidP="007838E0">
      <w:pPr>
        <w:spacing w:after="0"/>
        <w:jc w:val="both"/>
        <w:rPr>
          <w:sz w:val="24"/>
          <w:szCs w:val="24"/>
        </w:rPr>
      </w:pPr>
      <w:r w:rsidRPr="00BE536E">
        <w:rPr>
          <w:sz w:val="24"/>
          <w:szCs w:val="24"/>
        </w:rPr>
        <w:tab/>
        <w:t xml:space="preserve">В случае отсутствия курса валюты к доллару США, используется курс валюты к евро: </w:t>
      </w:r>
    </w:p>
    <w:p w14:paraId="4D79E944" w14:textId="77777777" w:rsidR="00567222" w:rsidRPr="00BE536E" w:rsidRDefault="00567222" w:rsidP="007838E0">
      <w:pPr>
        <w:spacing w:after="0"/>
        <w:jc w:val="both"/>
        <w:rPr>
          <w:sz w:val="24"/>
          <w:szCs w:val="24"/>
          <w:lang w:val="en-US"/>
        </w:rPr>
      </w:pPr>
      <w:r w:rsidRPr="00BE536E">
        <w:rPr>
          <w:sz w:val="24"/>
          <w:szCs w:val="24"/>
        </w:rPr>
        <w:t xml:space="preserve">                       Кросс</w:t>
      </w:r>
      <w:r w:rsidRPr="00BE536E">
        <w:rPr>
          <w:sz w:val="24"/>
          <w:szCs w:val="24"/>
          <w:lang w:val="en-US"/>
        </w:rPr>
        <w:t xml:space="preserve"> </w:t>
      </w:r>
      <w:r w:rsidRPr="00BE536E">
        <w:rPr>
          <w:sz w:val="24"/>
          <w:szCs w:val="24"/>
        </w:rPr>
        <w:t>курс</w:t>
      </w:r>
      <w:r w:rsidRPr="00BE536E">
        <w:rPr>
          <w:sz w:val="24"/>
          <w:szCs w:val="24"/>
          <w:lang w:val="en-US"/>
        </w:rPr>
        <w:t xml:space="preserve"> = CUR/EUR * EUR/RUR</w:t>
      </w:r>
    </w:p>
    <w:p w14:paraId="58F6AD98" w14:textId="77777777" w:rsidR="00567222" w:rsidRPr="00BE536E" w:rsidRDefault="00567222" w:rsidP="007838E0">
      <w:pPr>
        <w:spacing w:after="0"/>
        <w:ind w:firstLine="708"/>
        <w:rPr>
          <w:sz w:val="24"/>
          <w:szCs w:val="24"/>
        </w:rPr>
      </w:pPr>
      <w:r w:rsidRPr="00BE536E">
        <w:rPr>
          <w:sz w:val="24"/>
          <w:szCs w:val="24"/>
        </w:rPr>
        <w:t>Купонный доход на одну ценную бумагу, выраженный в валюте, пересчитывается в рубли  с точностью до 8-го знака после запятой.</w:t>
      </w:r>
    </w:p>
    <w:p w14:paraId="41561131" w14:textId="71E8D44F" w:rsidR="008C753E" w:rsidRPr="00BE536E" w:rsidRDefault="008C753E" w:rsidP="00B831EB">
      <w:pPr>
        <w:pStyle w:val="ConsTitle"/>
        <w:widowControl/>
        <w:spacing w:line="360" w:lineRule="auto"/>
        <w:ind w:firstLine="709"/>
        <w:jc w:val="both"/>
        <w:rPr>
          <w:rFonts w:ascii="Verdana" w:hAnsi="Verdana"/>
        </w:rPr>
      </w:pPr>
    </w:p>
    <w:p w14:paraId="0C25E0E6" w14:textId="30F3DD72" w:rsidR="00783DBD" w:rsidRDefault="00783DBD" w:rsidP="00B831EB">
      <w:pPr>
        <w:pStyle w:val="ConsTitle"/>
        <w:widowControl/>
        <w:spacing w:line="360" w:lineRule="auto"/>
        <w:ind w:firstLine="709"/>
        <w:jc w:val="both"/>
        <w:rPr>
          <w:rFonts w:ascii="Verdana" w:hAnsi="Verdana"/>
        </w:rPr>
      </w:pPr>
    </w:p>
    <w:p w14:paraId="16832347" w14:textId="3FED0B7F" w:rsidR="006F7549" w:rsidRDefault="006F7549" w:rsidP="00B831EB">
      <w:pPr>
        <w:pStyle w:val="ConsTitle"/>
        <w:widowControl/>
        <w:spacing w:line="360" w:lineRule="auto"/>
        <w:ind w:firstLine="709"/>
        <w:jc w:val="both"/>
        <w:rPr>
          <w:rFonts w:ascii="Verdana" w:hAnsi="Verdana"/>
        </w:rPr>
      </w:pPr>
    </w:p>
    <w:p w14:paraId="03DEE387" w14:textId="18CB6419" w:rsidR="006F7549" w:rsidRDefault="006F7549" w:rsidP="00B831EB">
      <w:pPr>
        <w:pStyle w:val="ConsTitle"/>
        <w:widowControl/>
        <w:spacing w:line="360" w:lineRule="auto"/>
        <w:ind w:firstLine="709"/>
        <w:jc w:val="both"/>
        <w:rPr>
          <w:rFonts w:ascii="Verdana" w:hAnsi="Verdana"/>
        </w:rPr>
      </w:pPr>
    </w:p>
    <w:p w14:paraId="4DCBD372" w14:textId="1F7B9761" w:rsidR="006F7549" w:rsidRDefault="006F7549" w:rsidP="00B831EB">
      <w:pPr>
        <w:pStyle w:val="ConsTitle"/>
        <w:widowControl/>
        <w:spacing w:line="360" w:lineRule="auto"/>
        <w:ind w:firstLine="709"/>
        <w:jc w:val="both"/>
        <w:rPr>
          <w:rFonts w:ascii="Verdana" w:hAnsi="Verdana"/>
        </w:rPr>
      </w:pPr>
    </w:p>
    <w:p w14:paraId="636B2B58" w14:textId="216AB745" w:rsidR="006F7549" w:rsidRDefault="006F7549" w:rsidP="00B831EB">
      <w:pPr>
        <w:pStyle w:val="ConsTitle"/>
        <w:widowControl/>
        <w:spacing w:line="360" w:lineRule="auto"/>
        <w:ind w:firstLine="709"/>
        <w:jc w:val="both"/>
        <w:rPr>
          <w:rFonts w:ascii="Verdana" w:hAnsi="Verdana"/>
        </w:rPr>
      </w:pPr>
    </w:p>
    <w:p w14:paraId="7C7C2D02" w14:textId="77777777" w:rsidR="00224F6F" w:rsidRDefault="00224F6F" w:rsidP="00B831EB">
      <w:pPr>
        <w:pStyle w:val="ConsTitle"/>
        <w:widowControl/>
        <w:spacing w:line="360" w:lineRule="auto"/>
        <w:ind w:firstLine="709"/>
        <w:jc w:val="both"/>
        <w:rPr>
          <w:rFonts w:ascii="Verdana" w:hAnsi="Verdana"/>
        </w:rPr>
      </w:pPr>
    </w:p>
    <w:p w14:paraId="7AE18514" w14:textId="77777777" w:rsidR="00224F6F" w:rsidRDefault="00224F6F" w:rsidP="00B831EB">
      <w:pPr>
        <w:pStyle w:val="ConsTitle"/>
        <w:widowControl/>
        <w:spacing w:line="360" w:lineRule="auto"/>
        <w:ind w:firstLine="709"/>
        <w:jc w:val="both"/>
        <w:rPr>
          <w:rFonts w:ascii="Verdana" w:hAnsi="Verdana"/>
        </w:rPr>
      </w:pPr>
    </w:p>
    <w:p w14:paraId="06301027" w14:textId="77777777" w:rsidR="00224F6F" w:rsidRDefault="00224F6F" w:rsidP="00B831EB">
      <w:pPr>
        <w:pStyle w:val="ConsTitle"/>
        <w:widowControl/>
        <w:spacing w:line="360" w:lineRule="auto"/>
        <w:ind w:firstLine="709"/>
        <w:jc w:val="both"/>
        <w:rPr>
          <w:rFonts w:ascii="Verdana" w:hAnsi="Verdana"/>
        </w:rPr>
      </w:pPr>
    </w:p>
    <w:p w14:paraId="319E82F7" w14:textId="4E6F4D74" w:rsidR="00224F6F" w:rsidRDefault="006F7549" w:rsidP="006F7549">
      <w:pPr>
        <w:jc w:val="both"/>
        <w:rPr>
          <w:rFonts w:ascii="Verdana" w:hAnsi="Verdana" w:cs="Arial"/>
          <w:caps/>
          <w:color w:val="943634"/>
          <w:sz w:val="24"/>
        </w:rPr>
      </w:pPr>
      <w:r w:rsidRPr="00BE7346">
        <w:rPr>
          <w:rFonts w:ascii="Verdana" w:hAnsi="Verdana" w:cs="Arial"/>
          <w:caps/>
          <w:color w:val="943634"/>
          <w:sz w:val="24"/>
        </w:rPr>
        <w:lastRenderedPageBreak/>
        <w:t xml:space="preserve">Приложение </w:t>
      </w:r>
      <w:r w:rsidR="00F20F93" w:rsidRPr="00BE7346">
        <w:rPr>
          <w:rFonts w:ascii="Verdana" w:hAnsi="Verdana" w:cs="Arial"/>
          <w:caps/>
          <w:color w:val="943634"/>
          <w:sz w:val="24"/>
        </w:rPr>
        <w:t>3</w:t>
      </w:r>
      <w:r w:rsidR="00F20F93">
        <w:rPr>
          <w:rFonts w:ascii="Verdana" w:hAnsi="Verdana" w:cs="Arial"/>
          <w:caps/>
          <w:color w:val="943634"/>
          <w:sz w:val="24"/>
        </w:rPr>
        <w:t>2</w:t>
      </w:r>
      <w:r w:rsidRPr="00BE7346">
        <w:rPr>
          <w:rFonts w:ascii="Verdana" w:hAnsi="Verdana" w:cs="Arial"/>
          <w:caps/>
          <w:color w:val="943634"/>
          <w:sz w:val="24"/>
        </w:rPr>
        <w:t xml:space="preserve">. </w:t>
      </w:r>
      <w:r w:rsidRPr="0059352A">
        <w:rPr>
          <w:rFonts w:ascii="Verdana" w:hAnsi="Verdana" w:cs="Arial"/>
          <w:b/>
          <w:bCs/>
          <w:caps/>
          <w:color w:val="943634"/>
          <w:sz w:val="24"/>
        </w:rPr>
        <w:t>Особые методы оценки, применяемые в период кризисной ситуации на финансовом рынке</w:t>
      </w:r>
      <w:r w:rsidRPr="00BE7346" w:rsidDel="00E326FC">
        <w:rPr>
          <w:rFonts w:ascii="Verdana" w:hAnsi="Verdana" w:cs="Arial"/>
          <w:caps/>
          <w:color w:val="943634"/>
          <w:sz w:val="24"/>
        </w:rPr>
        <w:t xml:space="preserve"> </w:t>
      </w:r>
    </w:p>
    <w:p w14:paraId="0A62FF6A" w14:textId="77777777" w:rsidR="00224F6F" w:rsidRDefault="00224F6F" w:rsidP="00224F6F">
      <w:pPr>
        <w:jc w:val="both"/>
        <w:rPr>
          <w:rFonts w:asciiTheme="minorHAnsi" w:hAnsiTheme="minorHAnsi" w:cstheme="minorHAnsi"/>
          <w:sz w:val="24"/>
          <w:szCs w:val="24"/>
        </w:rPr>
      </w:pPr>
      <w:r>
        <w:rPr>
          <w:rFonts w:asciiTheme="minorHAnsi" w:hAnsiTheme="minorHAnsi" w:cstheme="minorHAnsi"/>
          <w:sz w:val="24"/>
          <w:szCs w:val="24"/>
        </w:rPr>
        <w:t>Настоящие подходы и уточнения к методам оценки активов и обязательств являются обязательным дополнением к стандартным методам, указанным в настоящих Правилах определения СЧА ПИФ и применяются в период с даты включения настоящего приложения в Правила определения СЧА ПИФ до его исключения (полностью или в части).</w:t>
      </w:r>
    </w:p>
    <w:p w14:paraId="12ED359D" w14:textId="77777777" w:rsidR="00224F6F" w:rsidRDefault="00224F6F" w:rsidP="00224F6F">
      <w:pPr>
        <w:spacing w:after="0" w:line="360" w:lineRule="auto"/>
        <w:ind w:firstLine="708"/>
        <w:jc w:val="both"/>
        <w:rPr>
          <w:rFonts w:asciiTheme="minorHAnsi" w:hAnsiTheme="minorHAnsi" w:cstheme="minorHAnsi"/>
          <w:b/>
          <w:bCs/>
          <w:sz w:val="24"/>
          <w:szCs w:val="24"/>
        </w:rPr>
      </w:pPr>
      <w:r>
        <w:rPr>
          <w:rFonts w:asciiTheme="minorHAnsi" w:hAnsiTheme="minorHAnsi" w:cstheme="minorHAnsi"/>
          <w:b/>
          <w:bCs/>
          <w:sz w:val="24"/>
          <w:szCs w:val="24"/>
        </w:rPr>
        <w:t xml:space="preserve">1. Применение рейтингов международных рейтинговых агентств. </w:t>
      </w:r>
    </w:p>
    <w:p w14:paraId="312E930A"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1.1. Снижение (отзыв) рейтинга кредитоспособности, присвоенного иностранными рейтинговыми агентствами </w:t>
      </w:r>
      <w:r>
        <w:rPr>
          <w:rFonts w:asciiTheme="minorHAnsi" w:hAnsiTheme="minorHAnsi" w:cstheme="minorHAnsi"/>
          <w:sz w:val="24"/>
          <w:szCs w:val="24"/>
          <w:lang w:val="en-US"/>
        </w:rPr>
        <w:t>Standard</w:t>
      </w:r>
      <w:r>
        <w:rPr>
          <w:rFonts w:asciiTheme="minorHAnsi" w:hAnsiTheme="minorHAnsi" w:cstheme="minorHAnsi"/>
          <w:sz w:val="24"/>
          <w:szCs w:val="24"/>
        </w:rPr>
        <w:t xml:space="preserve"> &amp; </w:t>
      </w:r>
      <w:r>
        <w:rPr>
          <w:rFonts w:asciiTheme="minorHAnsi" w:hAnsiTheme="minorHAnsi" w:cstheme="minorHAnsi"/>
          <w:sz w:val="24"/>
          <w:szCs w:val="24"/>
          <w:lang w:val="en-US"/>
        </w:rPr>
        <w:t>Poor</w:t>
      </w:r>
      <w:r>
        <w:rPr>
          <w:rFonts w:asciiTheme="minorHAnsi" w:hAnsiTheme="minorHAnsi" w:cstheme="minorHAnsi"/>
          <w:sz w:val="24"/>
          <w:szCs w:val="24"/>
        </w:rPr>
        <w:t>’</w:t>
      </w:r>
      <w:r>
        <w:rPr>
          <w:rFonts w:asciiTheme="minorHAnsi" w:hAnsiTheme="minorHAnsi" w:cstheme="minorHAnsi"/>
          <w:sz w:val="24"/>
          <w:szCs w:val="24"/>
          <w:lang w:val="en-US"/>
        </w:rPr>
        <w:t>s</w:t>
      </w:r>
      <w:r>
        <w:rPr>
          <w:rFonts w:asciiTheme="minorHAnsi" w:hAnsiTheme="minorHAnsi" w:cstheme="minorHAnsi"/>
          <w:sz w:val="24"/>
          <w:szCs w:val="24"/>
        </w:rPr>
        <w:t xml:space="preserve">, </w:t>
      </w:r>
      <w:r>
        <w:rPr>
          <w:rFonts w:asciiTheme="minorHAnsi" w:hAnsiTheme="minorHAnsi" w:cstheme="minorHAnsi"/>
          <w:sz w:val="24"/>
          <w:szCs w:val="24"/>
          <w:lang w:val="en-US"/>
        </w:rPr>
        <w:t>Fitch</w:t>
      </w:r>
      <w:r w:rsidRPr="00224F6F">
        <w:rPr>
          <w:rFonts w:asciiTheme="minorHAnsi" w:hAnsiTheme="minorHAnsi" w:cstheme="minorHAnsi"/>
          <w:sz w:val="24"/>
          <w:szCs w:val="24"/>
        </w:rPr>
        <w:t xml:space="preserve"> </w:t>
      </w:r>
      <w:r>
        <w:rPr>
          <w:rFonts w:asciiTheme="minorHAnsi" w:hAnsiTheme="minorHAnsi" w:cstheme="minorHAnsi"/>
          <w:sz w:val="24"/>
          <w:szCs w:val="24"/>
          <w:lang w:val="en-US"/>
        </w:rPr>
        <w:t>Ratings</w:t>
      </w:r>
      <w:r>
        <w:rPr>
          <w:rFonts w:asciiTheme="minorHAnsi" w:hAnsiTheme="minorHAnsi" w:cstheme="minorHAnsi"/>
          <w:sz w:val="24"/>
          <w:szCs w:val="24"/>
        </w:rPr>
        <w:t xml:space="preserve"> и </w:t>
      </w:r>
      <w:r>
        <w:rPr>
          <w:rFonts w:asciiTheme="minorHAnsi" w:hAnsiTheme="minorHAnsi" w:cstheme="minorHAnsi"/>
          <w:sz w:val="24"/>
          <w:szCs w:val="24"/>
          <w:lang w:val="en-US"/>
        </w:rPr>
        <w:t>Moody</w:t>
      </w:r>
      <w:r>
        <w:rPr>
          <w:rFonts w:asciiTheme="minorHAnsi" w:hAnsiTheme="minorHAnsi" w:cstheme="minorHAnsi"/>
          <w:sz w:val="24"/>
          <w:szCs w:val="24"/>
        </w:rPr>
        <w:t>’</w:t>
      </w:r>
      <w:r>
        <w:rPr>
          <w:rFonts w:asciiTheme="minorHAnsi" w:hAnsiTheme="minorHAnsi" w:cstheme="minorHAnsi"/>
          <w:sz w:val="24"/>
          <w:szCs w:val="24"/>
          <w:lang w:val="en-US"/>
        </w:rPr>
        <w:t>s</w:t>
      </w:r>
      <w:r w:rsidRPr="00224F6F">
        <w:rPr>
          <w:rFonts w:asciiTheme="minorHAnsi" w:hAnsiTheme="minorHAnsi" w:cstheme="minorHAnsi"/>
          <w:sz w:val="24"/>
          <w:szCs w:val="24"/>
        </w:rPr>
        <w:t xml:space="preserve"> </w:t>
      </w:r>
      <w:r>
        <w:rPr>
          <w:rFonts w:asciiTheme="minorHAnsi" w:hAnsiTheme="minorHAnsi" w:cstheme="minorHAnsi"/>
          <w:sz w:val="24"/>
          <w:szCs w:val="24"/>
          <w:lang w:val="en-US"/>
        </w:rPr>
        <w:t>Investors</w:t>
      </w:r>
      <w:r w:rsidRPr="00224F6F">
        <w:rPr>
          <w:rFonts w:asciiTheme="minorHAnsi" w:hAnsiTheme="minorHAnsi" w:cstheme="minorHAnsi"/>
          <w:sz w:val="24"/>
          <w:szCs w:val="24"/>
        </w:rPr>
        <w:t xml:space="preserve"> </w:t>
      </w:r>
      <w:r>
        <w:rPr>
          <w:rFonts w:asciiTheme="minorHAnsi" w:hAnsiTheme="minorHAnsi" w:cstheme="minorHAnsi"/>
          <w:sz w:val="24"/>
          <w:szCs w:val="24"/>
          <w:lang w:val="en-US"/>
        </w:rPr>
        <w:t>Service</w:t>
      </w:r>
      <w:r>
        <w:rPr>
          <w:rFonts w:asciiTheme="minorHAnsi" w:hAnsiTheme="minorHAnsi" w:cstheme="minorHAnsi"/>
          <w:sz w:val="24"/>
          <w:szCs w:val="24"/>
        </w:rPr>
        <w:t xml:space="preserve"> (далее – иностранные рейтинговые агентства) российским кредитным организациям, иным российским организациям, а также их специальным юридическим лицам (</w:t>
      </w:r>
      <w:r>
        <w:rPr>
          <w:rFonts w:asciiTheme="minorHAnsi" w:hAnsiTheme="minorHAnsi" w:cstheme="minorHAnsi"/>
          <w:sz w:val="24"/>
          <w:szCs w:val="24"/>
          <w:lang w:val="en-US"/>
        </w:rPr>
        <w:t>SPV</w:t>
      </w:r>
      <w:r>
        <w:rPr>
          <w:rFonts w:asciiTheme="minorHAnsi" w:hAnsiTheme="minorHAnsi" w:cstheme="minorHAnsi"/>
          <w:sz w:val="24"/>
          <w:szCs w:val="24"/>
        </w:rPr>
        <w:t>) и дочерним компаниям из иностранных юрисдикций,  Российской Федерации, субъектам Российской Федерации, муниципальным образованиям после 01 февраля 2022 года, не является признаком обесценения для российских контрагентов.</w:t>
      </w:r>
    </w:p>
    <w:p w14:paraId="62CBB9A7"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1.2. Определение вероятности дефолта (PD) по обязательствам в рублях и иностранной валюте через рейтинги, присвоенные иностранными рейтинговыми агентствами российским компаниям, в т.ч. их специальным юридическим лицам (</w:t>
      </w:r>
      <w:r>
        <w:rPr>
          <w:rFonts w:asciiTheme="minorHAnsi" w:hAnsiTheme="minorHAnsi" w:cstheme="minorHAnsi"/>
          <w:sz w:val="24"/>
          <w:szCs w:val="24"/>
          <w:lang w:val="en-US"/>
        </w:rPr>
        <w:t>SPV</w:t>
      </w:r>
      <w:r>
        <w:rPr>
          <w:rFonts w:asciiTheme="minorHAnsi" w:hAnsiTheme="minorHAnsi" w:cstheme="minorHAnsi"/>
          <w:sz w:val="24"/>
          <w:szCs w:val="24"/>
        </w:rPr>
        <w:t xml:space="preserve">), нецелесообразно. </w:t>
      </w:r>
    </w:p>
    <w:p w14:paraId="3C9E1F66"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Наличие у российского контрагента рейтинга иностранного рейтингового агентства не принимается в расчет и рассматривается как отсутствие рейтинга. Для определения PD допустимо использовать следующие подходы:</w:t>
      </w:r>
    </w:p>
    <w:p w14:paraId="19275CD5"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а) Использование значения </w:t>
      </w:r>
      <w:r>
        <w:rPr>
          <w:rFonts w:asciiTheme="minorHAnsi" w:hAnsiTheme="minorHAnsi" w:cstheme="minorHAnsi"/>
          <w:sz w:val="24"/>
          <w:szCs w:val="24"/>
          <w:lang w:val="en-US"/>
        </w:rPr>
        <w:t>PD</w:t>
      </w:r>
      <w:r>
        <w:rPr>
          <w:rFonts w:asciiTheme="minorHAnsi" w:hAnsiTheme="minorHAnsi" w:cstheme="minorHAnsi"/>
          <w:sz w:val="24"/>
          <w:szCs w:val="24"/>
        </w:rPr>
        <w:t xml:space="preserve"> российского рейтингового агентства АО «Эксперт РА» через сопоставление рейтингов российских рейтинговых агентств.</w:t>
      </w:r>
    </w:p>
    <w:p w14:paraId="16210384"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В случае наличия у контрагента рейтинга одного из российских рейтинговых агентств применяется значение PD, определенное российским рейтинговым агентством АО «Эксперт РА» (далее – Агентство) (таблица 8 «Уровни (частоты) дефолта по рейтинговым категориям национальной российской рейтинговой шкалы Агентства для всех объектов рейтинга, кроме структурных облигаций и инструментов структурного финансирования» в составе отчета об исторических данных  об уровнях дефолта по рейтинговым категориям применяемых рейтинговых шкал на 01.01.2022. Источник: </w:t>
      </w:r>
      <w:hyperlink r:id="rId33" w:history="1">
        <w:r>
          <w:rPr>
            <w:rStyle w:val="af"/>
            <w:rFonts w:asciiTheme="minorHAnsi" w:hAnsiTheme="minorHAnsi" w:cstheme="minorHAnsi"/>
            <w:sz w:val="24"/>
          </w:rPr>
          <w:t>https://raexpert.ru/docbank//eef/df6/380/0d335f3cb12556c04667cc2.pdf</w:t>
        </w:r>
      </w:hyperlink>
      <w:r>
        <w:rPr>
          <w:rStyle w:val="af"/>
          <w:rFonts w:asciiTheme="minorHAnsi" w:hAnsiTheme="minorHAnsi" w:cstheme="minorHAnsi"/>
          <w:sz w:val="24"/>
        </w:rPr>
        <w:t>).</w:t>
      </w:r>
      <w:r>
        <w:rPr>
          <w:rFonts w:asciiTheme="minorHAnsi" w:hAnsiTheme="minorHAnsi" w:cstheme="minorHAnsi"/>
          <w:sz w:val="24"/>
          <w:szCs w:val="24"/>
        </w:rPr>
        <w:t xml:space="preserve"> При этом в случае </w:t>
      </w:r>
      <w:r>
        <w:rPr>
          <w:rFonts w:asciiTheme="minorHAnsi" w:hAnsiTheme="minorHAnsi" w:cstheme="minorHAnsi"/>
          <w:sz w:val="24"/>
          <w:szCs w:val="24"/>
        </w:rPr>
        <w:lastRenderedPageBreak/>
        <w:t xml:space="preserve">наличия у контрагента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АО «Эксперт РА» в соответствии приложением Д к Приложению 5 настоящих Правил. В случае необходимости провести сопоставление рейтингов </w:t>
      </w:r>
      <w:r>
        <w:rPr>
          <w:rFonts w:asciiTheme="minorHAnsi" w:hAnsiTheme="minorHAnsi" w:cstheme="minorHAnsi"/>
          <w:sz w:val="24"/>
          <w:szCs w:val="24"/>
          <w:lang w:eastAsia="ru-RU"/>
        </w:rPr>
        <w:t xml:space="preserve">ООО «НКР» и ООО «НРА» с рейтингами </w:t>
      </w:r>
      <w:r>
        <w:rPr>
          <w:rFonts w:asciiTheme="minorHAnsi" w:hAnsiTheme="minorHAnsi" w:cstheme="minorHAnsi"/>
          <w:sz w:val="24"/>
          <w:szCs w:val="24"/>
        </w:rPr>
        <w:t xml:space="preserve">АО «Эксперт РА» используется таблица сопоставления рейтинговых шкал российских кредитных рейтинговых агентств, указанная в Информационном сообщении Банка России от 30.12.2021 «Информация о сопоставлении рейтинговых шкал российских кредитных рейтинговых агентств». Для отобранного рейтинга от АО «Эксперт РА» выбирается соответствующее значение </w:t>
      </w:r>
      <w:r>
        <w:rPr>
          <w:rFonts w:asciiTheme="minorHAnsi" w:hAnsiTheme="minorHAnsi" w:cstheme="minorHAnsi"/>
          <w:sz w:val="24"/>
          <w:szCs w:val="24"/>
          <w:lang w:val="en-US"/>
        </w:rPr>
        <w:t>PD</w:t>
      </w:r>
      <w:r>
        <w:rPr>
          <w:rFonts w:asciiTheme="minorHAnsi" w:hAnsiTheme="minorHAnsi" w:cstheme="minorHAnsi"/>
          <w:sz w:val="24"/>
          <w:szCs w:val="24"/>
        </w:rPr>
        <w:t xml:space="preserve"> по таблице 8 для срока 1 год. При отсутствии у контрагента рейтинга одного из российских рейтинговых агентств значение PD может быть определено  методом, указанном в подпункте «б» настоящего пункта для контрагентов без рейтинга.   </w:t>
      </w:r>
    </w:p>
    <w:p w14:paraId="0B9091E8"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б) Использование актуальных значений </w:t>
      </w:r>
      <w:r>
        <w:rPr>
          <w:rFonts w:asciiTheme="minorHAnsi" w:hAnsiTheme="minorHAnsi" w:cstheme="minorHAnsi"/>
          <w:sz w:val="24"/>
          <w:szCs w:val="24"/>
          <w:lang w:val="en-US"/>
        </w:rPr>
        <w:t>PD</w:t>
      </w:r>
      <w:r>
        <w:rPr>
          <w:rFonts w:asciiTheme="minorHAnsi" w:hAnsiTheme="minorHAnsi" w:cstheme="minorHAnsi"/>
          <w:sz w:val="24"/>
          <w:szCs w:val="24"/>
        </w:rPr>
        <w:t xml:space="preserve"> иностранного рейтингового агентства Moody’s через сопоставление рейтингов российских рейтинговых агентств. </w:t>
      </w:r>
    </w:p>
    <w:p w14:paraId="443A388A"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В случае наличия у контрагента рейтинга одного из российских рейтинговых агентств применяется значение PD от агентства Moody’s через сопоставление рейтингов в соответствии с приложением Д к Приложению 5 настоящих Правил. При этом в случае наличия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агентства Moody’s. В случае необходимости провести сопоставление рейтингов </w:t>
      </w:r>
      <w:r>
        <w:rPr>
          <w:rFonts w:asciiTheme="minorHAnsi" w:hAnsiTheme="minorHAnsi" w:cstheme="minorHAnsi"/>
          <w:sz w:val="24"/>
          <w:szCs w:val="24"/>
          <w:lang w:eastAsia="ru-RU"/>
        </w:rPr>
        <w:t xml:space="preserve">ООО «НКР» и ООО «НРА» с </w:t>
      </w:r>
      <w:r>
        <w:rPr>
          <w:rFonts w:asciiTheme="minorHAnsi" w:hAnsiTheme="minorHAnsi" w:cstheme="minorHAnsi"/>
          <w:sz w:val="24"/>
          <w:szCs w:val="24"/>
        </w:rPr>
        <w:t xml:space="preserve">рейтингом агентства Moody’s сопоставление осуществляется через </w:t>
      </w:r>
      <w:r>
        <w:rPr>
          <w:rFonts w:asciiTheme="minorHAnsi" w:hAnsiTheme="minorHAnsi" w:cstheme="minorHAnsi"/>
          <w:sz w:val="24"/>
          <w:szCs w:val="24"/>
          <w:lang w:eastAsia="ru-RU"/>
        </w:rPr>
        <w:t xml:space="preserve">рейтинги </w:t>
      </w:r>
      <w:r>
        <w:rPr>
          <w:rFonts w:asciiTheme="minorHAnsi" w:hAnsiTheme="minorHAnsi" w:cstheme="minorHAnsi"/>
          <w:sz w:val="24"/>
          <w:szCs w:val="24"/>
        </w:rPr>
        <w:t xml:space="preserve">АО «Эксперт РА» с использованием таблицы сопоставления рейтинговых шкал российских кредитных рейтинговых агентств, указанной в Информационном сообщении  Банка России от  30.12.2021 «Информация о сопоставлении рейтинговых шкал российских кредитных рейтинговых агентств». </w:t>
      </w:r>
    </w:p>
    <w:p w14:paraId="0897D603"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Значение </w:t>
      </w:r>
      <w:r>
        <w:rPr>
          <w:rFonts w:asciiTheme="minorHAnsi" w:hAnsiTheme="minorHAnsi" w:cstheme="minorHAnsi"/>
          <w:sz w:val="24"/>
          <w:szCs w:val="24"/>
          <w:lang w:val="en-US"/>
        </w:rPr>
        <w:t>PD</w:t>
      </w:r>
      <w:r>
        <w:rPr>
          <w:rFonts w:asciiTheme="minorHAnsi" w:hAnsiTheme="minorHAnsi" w:cstheme="minorHAnsi"/>
          <w:sz w:val="24"/>
          <w:szCs w:val="24"/>
        </w:rPr>
        <w:t xml:space="preserve"> определяется на основании актуальных</w:t>
      </w:r>
      <w:r>
        <w:rPr>
          <w:rFonts w:asciiTheme="minorHAnsi" w:hAnsiTheme="minorHAnsi" w:cstheme="minorHAnsi"/>
          <w:vanish/>
          <w:sz w:val="24"/>
          <w:szCs w:val="24"/>
        </w:rPr>
        <w:t>него омбизнесуинга одного из российских рейтинговых агентствстности УКи.овых взаимоотношенийления справедливой стоимо</w:t>
      </w:r>
      <w:r>
        <w:rPr>
          <w:rFonts w:asciiTheme="minorHAnsi" w:hAnsiTheme="minorHAnsi" w:cstheme="minorHAnsi"/>
          <w:sz w:val="24"/>
          <w:szCs w:val="24"/>
        </w:rPr>
        <w:t xml:space="preserve"> публичных доступных данных по вероятностям дефолта рейтингового агентства Moody's, публикуемого на сайте агентства в составе отчета по ежегодному исследованию корпоративных дефолтов (Annual default study) в таблице «Average cumulative issuer-weighted global default rates by alphanumeric rating» с 1998 года. Выбирается значение PD для срока 1 год.</w:t>
      </w:r>
      <w:r>
        <w:rPr>
          <w:rStyle w:val="af"/>
          <w:rFonts w:asciiTheme="minorHAnsi" w:hAnsiTheme="minorHAnsi" w:cstheme="minorHAnsi"/>
          <w:sz w:val="24"/>
        </w:rPr>
        <w:t xml:space="preserve"> </w:t>
      </w:r>
    </w:p>
    <w:p w14:paraId="43F9D654"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lastRenderedPageBreak/>
        <w:t>Для крупных контрагентов, не относящихся к предприятиям малого и среднего бизнеса (выручка 4 млрд руб. и более в год), в случае отсутствия рейтинга одного из российских рейтинговых агентств применяется средняя вероятность дефолта для Speculative Grade от агентства Moody’s на основании актуального отчета по ежегодному исследованию корпоративных дефолтов (Annual default study) с применением соответствия уровней рейтингов (таблица 43 «Average cumulative issuer-weighted global default rates by alphanumeric rating, 1998-2021»). Выбирается значение PD для срока 1 год.</w:t>
      </w:r>
    </w:p>
    <w:p w14:paraId="62A038EB"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1.3. Определение значения LGD возможно по актуальному отчету иностранного рейтингового агентства  Moody’s через сопоставление рейтингов российских рейтинговых агентств. </w:t>
      </w:r>
    </w:p>
    <w:p w14:paraId="37B4787F"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Значение LGD определяется на основании актуальных</w:t>
      </w:r>
      <w:r>
        <w:rPr>
          <w:rFonts w:asciiTheme="minorHAnsi" w:hAnsiTheme="minorHAnsi" w:cstheme="minorHAnsi"/>
          <w:vanish/>
          <w:sz w:val="24"/>
          <w:szCs w:val="24"/>
        </w:rPr>
        <w:t>него омбизнесуинга одного из российских рейтинговых агентствстности УКи.овых взаимоотношенийления справедливой стоимо</w:t>
      </w:r>
      <w:r>
        <w:rPr>
          <w:rFonts w:asciiTheme="minorHAnsi" w:hAnsiTheme="minorHAnsi" w:cstheme="minorHAnsi"/>
          <w:sz w:val="24"/>
          <w:szCs w:val="24"/>
        </w:rPr>
        <w:t xml:space="preserve"> публичных доступных данных из отчета рейтингового агентства Moody’s по ежегодному исследованию корпоративных дефолтов (Annual default study, таблица «Average senior unsecured bond recovery rates by year </w:t>
      </w:r>
      <w:r>
        <w:rPr>
          <w:rFonts w:asciiTheme="minorHAnsi" w:hAnsiTheme="minorHAnsi" w:cstheme="minorHAnsi"/>
          <w:sz w:val="24"/>
          <w:szCs w:val="24"/>
          <w:lang w:val="en-US"/>
        </w:rPr>
        <w:t>before</w:t>
      </w:r>
      <w:r>
        <w:rPr>
          <w:rFonts w:asciiTheme="minorHAnsi" w:hAnsiTheme="minorHAnsi" w:cstheme="minorHAnsi"/>
          <w:sz w:val="24"/>
          <w:szCs w:val="24"/>
        </w:rPr>
        <w:t xml:space="preserve"> default» с 1983 года на горизонте 1 год) в соответствии с принадлежностью сопоставленного рейтинга контрагента к группе рейтингов, для которых определяется </w:t>
      </w:r>
      <w:r>
        <w:rPr>
          <w:rFonts w:asciiTheme="minorHAnsi" w:hAnsiTheme="minorHAnsi" w:cstheme="minorHAnsi"/>
          <w:sz w:val="24"/>
          <w:szCs w:val="24"/>
          <w:lang w:val="en-US"/>
        </w:rPr>
        <w:t>r</w:t>
      </w:r>
      <w:r>
        <w:rPr>
          <w:rFonts w:asciiTheme="minorHAnsi" w:hAnsiTheme="minorHAnsi" w:cstheme="minorHAnsi"/>
          <w:sz w:val="24"/>
          <w:szCs w:val="24"/>
        </w:rPr>
        <w:t>ecovery rate</w:t>
      </w:r>
      <w:r>
        <w:rPr>
          <w:rStyle w:val="af4"/>
          <w:rFonts w:asciiTheme="minorHAnsi" w:hAnsiTheme="minorHAnsi" w:cstheme="minorHAnsi"/>
          <w:sz w:val="24"/>
          <w:szCs w:val="24"/>
        </w:rPr>
        <w:footnoteReference w:id="42"/>
      </w:r>
      <w:r>
        <w:rPr>
          <w:rFonts w:asciiTheme="minorHAnsi" w:hAnsiTheme="minorHAnsi" w:cstheme="minorHAnsi"/>
          <w:sz w:val="24"/>
          <w:szCs w:val="24"/>
        </w:rPr>
        <w:t>.</w:t>
      </w:r>
    </w:p>
    <w:p w14:paraId="217F73E9"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В случае наличия у контрагента рейтинга одного из российских рейтинговых агентств через сопоставление рейтингов в соответствии с приложением Д к Приложению 5 Стандарта определяется рейтинг рейтингового агентства Moody’s. При этом в случае наличия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агентства Moody’s. В случае необходимости провести сопоставление рейтингов </w:t>
      </w:r>
      <w:r>
        <w:rPr>
          <w:rFonts w:asciiTheme="minorHAnsi" w:hAnsiTheme="minorHAnsi" w:cstheme="minorHAnsi"/>
          <w:sz w:val="24"/>
          <w:szCs w:val="24"/>
          <w:lang w:eastAsia="ru-RU"/>
        </w:rPr>
        <w:t xml:space="preserve">ООО «НКР» и ООО «НРА» с </w:t>
      </w:r>
      <w:r>
        <w:rPr>
          <w:rFonts w:asciiTheme="minorHAnsi" w:hAnsiTheme="minorHAnsi" w:cstheme="minorHAnsi"/>
          <w:sz w:val="24"/>
          <w:szCs w:val="24"/>
        </w:rPr>
        <w:t xml:space="preserve">рейтингом агентства Moody’s сопоставление осуществляется через </w:t>
      </w:r>
      <w:r>
        <w:rPr>
          <w:rFonts w:asciiTheme="minorHAnsi" w:hAnsiTheme="minorHAnsi" w:cstheme="minorHAnsi"/>
          <w:sz w:val="24"/>
          <w:szCs w:val="24"/>
          <w:lang w:eastAsia="ru-RU"/>
        </w:rPr>
        <w:t xml:space="preserve">рейтинги </w:t>
      </w:r>
      <w:r>
        <w:rPr>
          <w:rFonts w:asciiTheme="minorHAnsi" w:hAnsiTheme="minorHAnsi" w:cstheme="minorHAnsi"/>
          <w:sz w:val="24"/>
          <w:szCs w:val="24"/>
        </w:rPr>
        <w:t xml:space="preserve">АО «Эксперт РА» с использованием таблицы сопоставления рейтинговых шкал российских кредитных рейтинговых агентств, указанной в Информационном сообщении  Банка России от  30.12.2021 «Информация </w:t>
      </w:r>
      <w:r>
        <w:rPr>
          <w:rFonts w:asciiTheme="minorHAnsi" w:hAnsiTheme="minorHAnsi" w:cstheme="minorHAnsi"/>
          <w:sz w:val="24"/>
          <w:szCs w:val="24"/>
        </w:rPr>
        <w:lastRenderedPageBreak/>
        <w:t>о сопоставлении рейтинговых шкал российских кредитных рейтинговых агентств». Наличие у контрагента рейтинга иностранного рейтингового агентства не принимается в расчет и рассматривается как отсутствие рейтинга.</w:t>
      </w:r>
    </w:p>
    <w:p w14:paraId="318E67F8"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Для крупных контрагентов, не относящихся к предприятиям малого и среднего бизнеса (выручка 4 млрд руб. и более в год), в случае отсутствия рейтинга одного из российских рейтинговых агентств применяется значение recovery rate для Speculative Grade.</w:t>
      </w:r>
    </w:p>
    <w:p w14:paraId="3F376305"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1.4. Порядок определения значений </w:t>
      </w:r>
      <w:r>
        <w:rPr>
          <w:rFonts w:asciiTheme="minorHAnsi" w:hAnsiTheme="minorHAnsi" w:cstheme="minorHAnsi"/>
          <w:sz w:val="24"/>
          <w:szCs w:val="24"/>
          <w:lang w:val="en-US"/>
        </w:rPr>
        <w:t>PD</w:t>
      </w:r>
      <w:r>
        <w:rPr>
          <w:rFonts w:asciiTheme="minorHAnsi" w:hAnsiTheme="minorHAnsi" w:cstheme="minorHAnsi"/>
          <w:sz w:val="24"/>
          <w:szCs w:val="24"/>
        </w:rPr>
        <w:t xml:space="preserve"> и </w:t>
      </w:r>
      <w:r>
        <w:rPr>
          <w:rFonts w:asciiTheme="minorHAnsi" w:hAnsiTheme="minorHAnsi" w:cstheme="minorHAnsi"/>
          <w:sz w:val="24"/>
          <w:szCs w:val="24"/>
          <w:lang w:val="en-US"/>
        </w:rPr>
        <w:t>LGD</w:t>
      </w:r>
      <w:r>
        <w:rPr>
          <w:rFonts w:asciiTheme="minorHAnsi" w:hAnsiTheme="minorHAnsi" w:cstheme="minorHAnsi"/>
          <w:sz w:val="24"/>
          <w:szCs w:val="24"/>
        </w:rPr>
        <w:t xml:space="preserve"> для иностранных контрагентов, установленный в Правилах, не меняется.</w:t>
      </w:r>
    </w:p>
    <w:p w14:paraId="4ADE8D0F" w14:textId="77777777" w:rsidR="00224F6F" w:rsidRDefault="00224F6F" w:rsidP="00224F6F">
      <w:pPr>
        <w:spacing w:after="0" w:line="360" w:lineRule="auto"/>
        <w:ind w:firstLine="708"/>
        <w:jc w:val="both"/>
        <w:rPr>
          <w:rFonts w:asciiTheme="minorHAnsi" w:hAnsiTheme="minorHAnsi" w:cstheme="minorHAnsi"/>
          <w:sz w:val="24"/>
          <w:szCs w:val="24"/>
        </w:rPr>
      </w:pPr>
    </w:p>
    <w:p w14:paraId="56D654E9" w14:textId="77777777" w:rsidR="00224F6F" w:rsidRDefault="00224F6F" w:rsidP="00224F6F">
      <w:pPr>
        <w:spacing w:after="0" w:line="360" w:lineRule="auto"/>
        <w:ind w:firstLine="708"/>
        <w:jc w:val="both"/>
        <w:rPr>
          <w:rFonts w:asciiTheme="minorHAnsi" w:hAnsiTheme="minorHAnsi" w:cstheme="minorHAnsi"/>
          <w:b/>
          <w:sz w:val="24"/>
          <w:szCs w:val="24"/>
        </w:rPr>
      </w:pPr>
      <w:r>
        <w:rPr>
          <w:rFonts w:asciiTheme="minorHAnsi" w:hAnsiTheme="minorHAnsi" w:cstheme="minorHAnsi"/>
          <w:b/>
          <w:sz w:val="24"/>
          <w:szCs w:val="24"/>
        </w:rPr>
        <w:t xml:space="preserve">2. Дефолт или просрочка по валютным обязательствам. </w:t>
      </w:r>
    </w:p>
    <w:p w14:paraId="77844E06"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2.1. Для контрагента может не считаться событием дефолта или обесценения неисполнение обязательств в валюте, отличной от российского рубля, если имеются основания полагать, что дефолт произошел из-за событий, не связанных с деятельностью контрагента, например, введения санкций, запрета/невозможности расчётов со стороны иностранных контрагентов или российских государственных органов. </w:t>
      </w:r>
    </w:p>
    <w:p w14:paraId="29B24526"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2.2. Неисполнение обязательств, в том числе по выплате купонов и дивидендов в иностранной валюте, не считается событием по обесценению или дефолтом контрагента в отношении таких обязательств (дебиторской задолженности) до 30 апреля 2022 года включительно в случае, если такое неисполнение возникло в результате действий (бездействия) иностранных депозитарно-клиринговых компаний (в т.ч. Euroclear и Clearstream). </w:t>
      </w:r>
    </w:p>
    <w:p w14:paraId="37139E25"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2.3. Для обязательств в иностранной валюте может не считаться событием дефолта исполнение этих обязательств в иной валюте.</w:t>
      </w:r>
    </w:p>
    <w:p w14:paraId="06A6B508"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Решение Управляющей компании о том, что указанные в пп.2.1.-2.3. события являются признаком обесценения или приводят к дефолту, оформляются мотивированным суждением и направляются в Специализированный депозитарий.</w:t>
      </w:r>
    </w:p>
    <w:p w14:paraId="447BA13D" w14:textId="77777777" w:rsidR="00224F6F" w:rsidRDefault="00224F6F" w:rsidP="00224F6F">
      <w:pPr>
        <w:spacing w:after="0" w:line="360" w:lineRule="auto"/>
        <w:ind w:firstLine="708"/>
        <w:jc w:val="both"/>
        <w:rPr>
          <w:rFonts w:asciiTheme="minorHAnsi" w:hAnsiTheme="minorHAnsi" w:cstheme="minorHAnsi"/>
          <w:sz w:val="24"/>
          <w:szCs w:val="24"/>
        </w:rPr>
      </w:pPr>
    </w:p>
    <w:p w14:paraId="55E576E1" w14:textId="77777777" w:rsidR="00224F6F" w:rsidRDefault="00224F6F" w:rsidP="00224F6F">
      <w:pPr>
        <w:spacing w:after="0" w:line="360" w:lineRule="auto"/>
        <w:ind w:firstLine="708"/>
        <w:jc w:val="both"/>
        <w:rPr>
          <w:rFonts w:asciiTheme="minorHAnsi" w:hAnsiTheme="minorHAnsi" w:cstheme="minorHAnsi"/>
          <w:b/>
          <w:sz w:val="24"/>
          <w:szCs w:val="24"/>
        </w:rPr>
      </w:pPr>
      <w:r>
        <w:rPr>
          <w:rFonts w:asciiTheme="minorHAnsi" w:hAnsiTheme="minorHAnsi" w:cstheme="minorHAnsi"/>
          <w:b/>
          <w:sz w:val="24"/>
          <w:szCs w:val="24"/>
        </w:rPr>
        <w:t>3. Особенности определения активного рынка.</w:t>
      </w:r>
    </w:p>
    <w:p w14:paraId="5F0E67C8"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lastRenderedPageBreak/>
        <w:t>В определении активного рынка в соответствии с Приложением 2 Правил при использовании для анализа данных последнего торгового дня на торговых площадках следует руководствоваться следующей оговоркой:</w:t>
      </w:r>
    </w:p>
    <w:p w14:paraId="46B05FE3"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«За исключением случаев, когда неторговый день (или отсутствие торгов на фондовом рынке) связан с приостановкой торгов по решению Банка России, приостановкой торгов в случае достижения установленных биржей пороговых значений или иными событиями (согласно мотивированному суждению управляющей компании), способными существенно повлиять на изменение справедливой стоимости в такой неторговый день по сравнению с последним торговым днем. В случае, если возникшие обстоятельства приводят к затруднению (невозможности) определения справедливой стоимости активов, управляющая компания обязана приостановить выдачу, погашение и обмен инвестиционных паев паевого инвестиционного фонда по причинам, не зависящим от управляющей компании, безотносительно типа паевого инвестиционного фонда и независимо от фактического проведения процедур по выдаче, погашению и обмену инвестиционных паев в момент возникновения обязанности по приостановлению».</w:t>
      </w:r>
    </w:p>
    <w:p w14:paraId="775B6772" w14:textId="77777777" w:rsidR="00224F6F" w:rsidRDefault="00224F6F" w:rsidP="00224F6F">
      <w:pPr>
        <w:spacing w:after="0" w:line="360" w:lineRule="auto"/>
        <w:ind w:firstLine="708"/>
        <w:jc w:val="both"/>
        <w:rPr>
          <w:rFonts w:asciiTheme="minorHAnsi" w:hAnsiTheme="minorHAnsi" w:cstheme="minorHAnsi"/>
          <w:sz w:val="24"/>
          <w:szCs w:val="24"/>
        </w:rPr>
      </w:pPr>
    </w:p>
    <w:p w14:paraId="089C7468" w14:textId="77777777" w:rsidR="00224F6F" w:rsidRDefault="00224F6F" w:rsidP="00224F6F">
      <w:pPr>
        <w:spacing w:after="0" w:line="360" w:lineRule="auto"/>
        <w:ind w:firstLine="708"/>
        <w:jc w:val="both"/>
        <w:rPr>
          <w:rFonts w:asciiTheme="minorHAnsi" w:hAnsiTheme="minorHAnsi" w:cstheme="minorHAnsi"/>
          <w:b/>
          <w:sz w:val="24"/>
          <w:szCs w:val="24"/>
        </w:rPr>
      </w:pPr>
      <w:r>
        <w:rPr>
          <w:rFonts w:asciiTheme="minorHAnsi" w:hAnsiTheme="minorHAnsi" w:cstheme="minorHAnsi"/>
          <w:b/>
          <w:sz w:val="24"/>
          <w:szCs w:val="24"/>
        </w:rPr>
        <w:t>4. Определение безрисковой ставки.</w:t>
      </w:r>
    </w:p>
    <w:p w14:paraId="752A7426"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В случае отсутствия актуальных данных для определения значения КБД Московской биржи в связи с отсутствием торгов по ОФЗ применяется следующая методика.</w:t>
      </w:r>
    </w:p>
    <w:p w14:paraId="78B6C2BF"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В качестве безрисковой ставки для определения справедливой стоимости обязательств со сроком погашения до 1 года может быть использована ставка, рассчитываемая методом линейной интерполяции  на основе ставок  ROISfix на дату определения справедливой стоимости.</w:t>
      </w:r>
    </w:p>
    <w:p w14:paraId="165A1DCA" w14:textId="77777777" w:rsidR="00224F6F" w:rsidRDefault="00224F6F" w:rsidP="00224F6F">
      <w:pPr>
        <w:spacing w:line="360" w:lineRule="auto"/>
        <w:ind w:firstLine="708"/>
        <w:jc w:val="both"/>
        <w:rPr>
          <w:rFonts w:asciiTheme="minorHAnsi" w:hAnsiTheme="minorHAnsi" w:cstheme="minorHAnsi"/>
          <w:sz w:val="24"/>
          <w:szCs w:val="24"/>
        </w:rPr>
      </w:pPr>
      <w:r>
        <w:rPr>
          <w:rFonts w:asciiTheme="minorHAnsi" w:hAnsiTheme="minorHAnsi" w:cstheme="minorHAnsi"/>
          <w:sz w:val="24"/>
          <w:szCs w:val="24"/>
        </w:rPr>
        <w:t>Для обязательств со сроком погашения свыше года ставка КБД корректируется в соответствии с мотивированным суждением управляющей компании, которое содержит описание методики такой корректировки в каждом конкретном случае.</w:t>
      </w:r>
    </w:p>
    <w:p w14:paraId="1A35805D" w14:textId="77777777" w:rsidR="00224F6F" w:rsidRDefault="00224F6F" w:rsidP="00224F6F">
      <w:pPr>
        <w:spacing w:after="0" w:line="360" w:lineRule="auto"/>
        <w:ind w:firstLine="708"/>
        <w:jc w:val="both"/>
        <w:rPr>
          <w:rFonts w:asciiTheme="minorHAnsi" w:hAnsiTheme="minorHAnsi" w:cstheme="minorHAnsi"/>
          <w:sz w:val="24"/>
          <w:szCs w:val="24"/>
        </w:rPr>
      </w:pPr>
    </w:p>
    <w:sectPr w:rsidR="00224F6F" w:rsidSect="003C31C1">
      <w:pgSz w:w="12240" w:h="15840"/>
      <w:pgMar w:top="1134" w:right="709" w:bottom="992" w:left="1701"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B263AB" w14:textId="77777777" w:rsidR="00EF32CB" w:rsidRDefault="00EF32CB" w:rsidP="0095677F">
      <w:pPr>
        <w:spacing w:after="0" w:line="240" w:lineRule="auto"/>
      </w:pPr>
      <w:r>
        <w:separator/>
      </w:r>
    </w:p>
  </w:endnote>
  <w:endnote w:type="continuationSeparator" w:id="0">
    <w:p w14:paraId="3C3C3198" w14:textId="77777777" w:rsidR="00EF32CB" w:rsidRDefault="00EF32CB" w:rsidP="0095677F">
      <w:pPr>
        <w:spacing w:after="0" w:line="240" w:lineRule="auto"/>
      </w:pPr>
      <w:r>
        <w:continuationSeparator/>
      </w:r>
    </w:p>
  </w:endnote>
  <w:endnote w:type="continuationNotice" w:id="1">
    <w:p w14:paraId="07A451AC" w14:textId="77777777" w:rsidR="00EF32CB" w:rsidRDefault="00EF32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 MS Sans Serif"/>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Verdana Pro">
    <w:charset w:val="00"/>
    <w:family w:val="swiss"/>
    <w:pitch w:val="variable"/>
    <w:sig w:usb0="80000287" w:usb1="00000043"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CB29B6" w14:textId="77777777" w:rsidR="00B5414D" w:rsidRDefault="00B5414D">
    <w:pPr>
      <w:jc w:val="right"/>
    </w:pPr>
    <w:r>
      <w:fldChar w:fldCharType="begin"/>
    </w:r>
    <w:r>
      <w:instrText xml:space="preserve"> PAGE   \* MERGEFORMAT </w:instrText>
    </w:r>
    <w:r>
      <w:fldChar w:fldCharType="separate"/>
    </w:r>
    <w:r w:rsidR="002B077D">
      <w:rPr>
        <w:noProof/>
      </w:rPr>
      <w:t>1</w:t>
    </w:r>
    <w:r>
      <w:rPr>
        <w:noProof/>
      </w:rPr>
      <w:fldChar w:fldCharType="end"/>
    </w:r>
  </w:p>
  <w:p w14:paraId="540C23FA" w14:textId="77777777" w:rsidR="00B5414D" w:rsidRDefault="00B5414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A0B8A1" w14:textId="77777777" w:rsidR="00EF32CB" w:rsidRDefault="00EF32CB" w:rsidP="0095677F">
      <w:pPr>
        <w:spacing w:after="0" w:line="240" w:lineRule="auto"/>
      </w:pPr>
      <w:r>
        <w:separator/>
      </w:r>
    </w:p>
  </w:footnote>
  <w:footnote w:type="continuationSeparator" w:id="0">
    <w:p w14:paraId="251C7620" w14:textId="77777777" w:rsidR="00EF32CB" w:rsidRDefault="00EF32CB" w:rsidP="0095677F">
      <w:pPr>
        <w:spacing w:after="0" w:line="240" w:lineRule="auto"/>
      </w:pPr>
      <w:r>
        <w:continuationSeparator/>
      </w:r>
    </w:p>
  </w:footnote>
  <w:footnote w:type="continuationNotice" w:id="1">
    <w:p w14:paraId="3DA4D31D" w14:textId="77777777" w:rsidR="00EF32CB" w:rsidRDefault="00EF32CB">
      <w:pPr>
        <w:spacing w:after="0" w:line="240" w:lineRule="auto"/>
      </w:pPr>
    </w:p>
  </w:footnote>
  <w:footnote w:id="2">
    <w:p w14:paraId="33E7DA39" w14:textId="77777777" w:rsidR="00B5414D" w:rsidRDefault="00B5414D" w:rsidP="008A493B">
      <w:pPr>
        <w:jc w:val="both"/>
      </w:pPr>
      <w:r>
        <w:rPr>
          <w:rStyle w:val="ab"/>
        </w:rPr>
        <w:footnoteRef/>
      </w:r>
      <w:r>
        <w:t>В случае, если облигации внешних облигационных займов РФ допущены к торгам только на российской бирже, то справедливая стоимость ценных бумаг определяется на Уровне 1 так же, как определяется справедливая стоимость облигаций российского эмитента. Например, государственные ценные бумаги Республики Беларусь (</w:t>
      </w:r>
      <w:r w:rsidRPr="0071030B">
        <w:t>РБ-Ц/08/19</w:t>
      </w:r>
      <w:r>
        <w:t>)</w:t>
      </w:r>
    </w:p>
  </w:footnote>
  <w:footnote w:id="3">
    <w:p w14:paraId="075BB9C4" w14:textId="77777777" w:rsidR="00B5414D" w:rsidRDefault="00B5414D" w:rsidP="00217C22">
      <w:pPr>
        <w:pStyle w:val="af2"/>
      </w:pPr>
      <w:r>
        <w:rPr>
          <w:rStyle w:val="af4"/>
          <w:sz w:val="18"/>
        </w:rPr>
        <w:footnoteRef/>
      </w:r>
      <w:r>
        <w:rPr>
          <w:sz w:val="18"/>
        </w:rPr>
        <w:t xml:space="preserve"> Источник - </w:t>
      </w:r>
      <w:hyperlink r:id="rId1" w:history="1">
        <w:r>
          <w:rPr>
            <w:rStyle w:val="af"/>
            <w:sz w:val="18"/>
          </w:rPr>
          <w:t>https://www.moex.com/ru/marketdata/indices/state/g-curve/</w:t>
        </w:r>
      </w:hyperlink>
    </w:p>
  </w:footnote>
  <w:footnote w:id="4">
    <w:p w14:paraId="64F25786" w14:textId="77777777" w:rsidR="00B5414D" w:rsidRDefault="00B5414D" w:rsidP="00217C22">
      <w:pPr>
        <w:pStyle w:val="af2"/>
      </w:pPr>
      <w:r>
        <w:rPr>
          <w:rStyle w:val="af4"/>
          <w:sz w:val="18"/>
        </w:rPr>
        <w:footnoteRef/>
      </w:r>
      <w:r>
        <w:rPr>
          <w:sz w:val="18"/>
        </w:rPr>
        <w:t xml:space="preserve"> Источник - </w:t>
      </w:r>
      <w:hyperlink r:id="rId2" w:history="1">
        <w:r>
          <w:rPr>
            <w:rStyle w:val="af"/>
            <w:sz w:val="18"/>
          </w:rPr>
          <w:t>https://www.treasury.gov/resource-center/data-chart-center/interest-rates/pages/TextView.aspx?data=yield</w:t>
        </w:r>
      </w:hyperlink>
    </w:p>
  </w:footnote>
  <w:footnote w:id="5">
    <w:p w14:paraId="4014A488" w14:textId="77777777" w:rsidR="00B5414D" w:rsidRDefault="00B5414D" w:rsidP="00217C22">
      <w:pPr>
        <w:pStyle w:val="af2"/>
      </w:pPr>
      <w:r>
        <w:rPr>
          <w:rStyle w:val="af4"/>
        </w:rPr>
        <w:footnoteRef/>
      </w:r>
      <w:r>
        <w:rPr>
          <w:sz w:val="18"/>
        </w:rPr>
        <w:t xml:space="preserve"> Источник - </w:t>
      </w:r>
      <w:hyperlink r:id="rId3" w:history="1">
        <w:r>
          <w:rPr>
            <w:rStyle w:val="af"/>
            <w:sz w:val="18"/>
          </w:rPr>
          <w:t>https://www.ecb.europa.eu/stats/financial_markets_and_interest_rates/euro_area_yield_curves/html/index.en.html</w:t>
        </w:r>
      </w:hyperlink>
    </w:p>
  </w:footnote>
  <w:footnote w:id="6">
    <w:p w14:paraId="0A6296D4" w14:textId="77777777" w:rsidR="00B5414D" w:rsidRDefault="00B5414D" w:rsidP="008B55E7">
      <w:r>
        <w:rPr>
          <w:rStyle w:val="ab"/>
        </w:rPr>
        <w:footnoteRef/>
      </w:r>
      <w:r>
        <w:t xml:space="preserve"> </w:t>
      </w:r>
      <w:r w:rsidRPr="00F64669">
        <w:rPr>
          <w:sz w:val="16"/>
          <w:szCs w:val="16"/>
        </w:rPr>
        <w:t xml:space="preserve">Соответствует функции СТАНДОТКЛОН.Г в программе </w:t>
      </w:r>
      <w:r w:rsidRPr="00F64669">
        <w:rPr>
          <w:sz w:val="16"/>
          <w:szCs w:val="16"/>
          <w:lang w:val="en-US"/>
        </w:rPr>
        <w:t>MS</w:t>
      </w:r>
      <w:r w:rsidRPr="00F64669">
        <w:rPr>
          <w:sz w:val="16"/>
          <w:szCs w:val="16"/>
        </w:rPr>
        <w:t xml:space="preserve"> </w:t>
      </w:r>
      <w:r w:rsidRPr="00F64669">
        <w:rPr>
          <w:sz w:val="16"/>
          <w:szCs w:val="16"/>
          <w:lang w:val="en-US"/>
        </w:rPr>
        <w:t>Excel</w:t>
      </w:r>
    </w:p>
  </w:footnote>
  <w:footnote w:id="7">
    <w:p w14:paraId="0340E7BC" w14:textId="77777777" w:rsidR="00B5414D" w:rsidRPr="00FE471A" w:rsidRDefault="00B5414D" w:rsidP="008B55E7">
      <w:pPr>
        <w:spacing w:line="360" w:lineRule="auto"/>
        <w:jc w:val="both"/>
        <w:rPr>
          <w:rFonts w:eastAsia="Batang"/>
          <w:i/>
          <w:color w:val="000000"/>
          <w:sz w:val="16"/>
          <w:szCs w:val="16"/>
          <w:lang w:eastAsia="ru-RU"/>
        </w:rPr>
      </w:pPr>
      <w:r w:rsidRPr="0037652C">
        <w:rPr>
          <w:rStyle w:val="ab"/>
          <w:sz w:val="16"/>
          <w:szCs w:val="16"/>
        </w:rPr>
        <w:footnoteRef/>
      </w:r>
      <w:r w:rsidRPr="0037652C">
        <w:rPr>
          <w:sz w:val="16"/>
          <w:szCs w:val="16"/>
        </w:rPr>
        <w:t xml:space="preserve"> </w:t>
      </w:r>
      <w:hyperlink r:id="rId4" w:anchor="CheckedItem" w:history="1">
        <w:r w:rsidRPr="0037652C">
          <w:rPr>
            <w:rStyle w:val="a5"/>
          </w:rPr>
          <w:t>http://www.cbr.ru/statistics/?PrtId=int_rat&amp;ch=PAR_11965#CheckedItem</w:t>
        </w:r>
      </w:hyperlink>
      <w:r w:rsidRPr="0037652C">
        <w:rPr>
          <w:sz w:val="16"/>
          <w:szCs w:val="16"/>
        </w:rPr>
        <w:t>.</w:t>
      </w:r>
      <w:r w:rsidRPr="00FE471A">
        <w:rPr>
          <w:i/>
          <w:sz w:val="16"/>
          <w:szCs w:val="16"/>
        </w:rPr>
        <w:t xml:space="preserve"> </w:t>
      </w:r>
    </w:p>
  </w:footnote>
  <w:footnote w:id="8">
    <w:p w14:paraId="6C06CAEC" w14:textId="77777777" w:rsidR="00B5414D" w:rsidRPr="00FE471A" w:rsidRDefault="00B5414D" w:rsidP="008B55E7">
      <w:pPr>
        <w:spacing w:line="360" w:lineRule="auto"/>
        <w:jc w:val="both"/>
        <w:rPr>
          <w:rFonts w:eastAsia="Batang"/>
          <w:i/>
          <w:color w:val="000000"/>
          <w:sz w:val="16"/>
          <w:szCs w:val="16"/>
          <w:lang w:eastAsia="ru-RU"/>
        </w:rPr>
      </w:pPr>
      <w:r w:rsidRPr="0037652C">
        <w:rPr>
          <w:rStyle w:val="ab"/>
          <w:sz w:val="16"/>
          <w:szCs w:val="16"/>
        </w:rPr>
        <w:footnoteRef/>
      </w:r>
      <w:r w:rsidRPr="0037652C">
        <w:rPr>
          <w:sz w:val="16"/>
          <w:szCs w:val="16"/>
        </w:rPr>
        <w:t xml:space="preserve"> </w:t>
      </w:r>
      <w:hyperlink r:id="rId5" w:anchor="CheckedItem" w:history="1">
        <w:r w:rsidRPr="0037652C">
          <w:rPr>
            <w:rStyle w:val="a5"/>
          </w:rPr>
          <w:t>http://www.cbr.ru/statistics/?PrtId=int_rat&amp;ch=PAR_11965#CheckedItem</w:t>
        </w:r>
      </w:hyperlink>
      <w:r w:rsidRPr="0037652C">
        <w:rPr>
          <w:sz w:val="16"/>
          <w:szCs w:val="16"/>
        </w:rPr>
        <w:t>.</w:t>
      </w:r>
      <w:r w:rsidRPr="00FE471A">
        <w:rPr>
          <w:i/>
          <w:sz w:val="16"/>
          <w:szCs w:val="16"/>
        </w:rPr>
        <w:t xml:space="preserve"> </w:t>
      </w:r>
    </w:p>
  </w:footnote>
  <w:footnote w:id="9">
    <w:p w14:paraId="1BEF33DE" w14:textId="1DEE4D47" w:rsidR="007A390F" w:rsidRPr="007A390F" w:rsidRDefault="007A390F">
      <w:pPr>
        <w:pStyle w:val="af2"/>
      </w:pPr>
      <w:r w:rsidRPr="007A390F">
        <w:rPr>
          <w:rStyle w:val="af4"/>
          <w:b/>
          <w:bCs/>
        </w:rPr>
        <w:footnoteRef/>
      </w:r>
      <w:r>
        <w:t xml:space="preserve"> </w:t>
      </w:r>
      <w:r w:rsidRPr="007A390F">
        <w:rPr>
          <w:rStyle w:val="a5"/>
          <w:rFonts w:ascii="Calibri" w:hAnsi="Calibri"/>
          <w:sz w:val="18"/>
        </w:rPr>
        <w:t>https://ruonia.ru</w:t>
      </w:r>
    </w:p>
  </w:footnote>
  <w:footnote w:id="10">
    <w:p w14:paraId="201AC794" w14:textId="77777777" w:rsidR="007A390F" w:rsidRPr="00280039" w:rsidRDefault="007A390F" w:rsidP="007A390F">
      <w:pPr>
        <w:rPr>
          <w:sz w:val="18"/>
        </w:rPr>
      </w:pPr>
      <w:r w:rsidRPr="00280039">
        <w:rPr>
          <w:rStyle w:val="ab"/>
          <w:sz w:val="18"/>
        </w:rPr>
        <w:footnoteRef/>
      </w:r>
      <w:r w:rsidRPr="00280039">
        <w:rPr>
          <w:sz w:val="18"/>
        </w:rPr>
        <w:t xml:space="preserve"> </w:t>
      </w:r>
      <w:hyperlink r:id="rId6" w:history="1">
        <w:r w:rsidRPr="00280039">
          <w:rPr>
            <w:rStyle w:val="a5"/>
            <w:sz w:val="18"/>
          </w:rPr>
          <w:t>https://www.moex.com/s2532</w:t>
        </w:r>
      </w:hyperlink>
    </w:p>
  </w:footnote>
  <w:footnote w:id="11">
    <w:p w14:paraId="33F9DA0B" w14:textId="77777777" w:rsidR="00B5414D" w:rsidRDefault="00B5414D" w:rsidP="00AC3AD8">
      <w:pPr>
        <w:rPr>
          <w:sz w:val="20"/>
        </w:rPr>
      </w:pPr>
      <w:r w:rsidRPr="00280039">
        <w:rPr>
          <w:rStyle w:val="ab"/>
          <w:sz w:val="18"/>
        </w:rPr>
        <w:footnoteRef/>
      </w:r>
      <w:r w:rsidRPr="00280039">
        <w:rPr>
          <w:sz w:val="18"/>
        </w:rPr>
        <w:t xml:space="preserve"> </w:t>
      </w:r>
      <w:hyperlink r:id="rId7" w:history="1">
        <w:r w:rsidRPr="00280039">
          <w:rPr>
            <w:rStyle w:val="a5"/>
            <w:sz w:val="18"/>
          </w:rPr>
          <w:t>https://www.sofrrate.com/</w:t>
        </w:r>
      </w:hyperlink>
    </w:p>
  </w:footnote>
  <w:footnote w:id="12">
    <w:p w14:paraId="132E9969" w14:textId="77777777" w:rsidR="00B5414D" w:rsidRDefault="00B5414D" w:rsidP="00AC3AD8">
      <w:pPr>
        <w:rPr>
          <w:sz w:val="18"/>
        </w:rPr>
      </w:pPr>
      <w:r>
        <w:rPr>
          <w:rStyle w:val="ab"/>
          <w:sz w:val="18"/>
        </w:rPr>
        <w:footnoteRef/>
      </w:r>
      <w:r>
        <w:rPr>
          <w:sz w:val="18"/>
        </w:rPr>
        <w:t xml:space="preserve"> </w:t>
      </w:r>
      <w:hyperlink r:id="rId8" w:history="1">
        <w:r>
          <w:rPr>
            <w:rStyle w:val="a5"/>
            <w:sz w:val="18"/>
          </w:rPr>
          <w:t>https://www.treasury.gov/resource-center/data-chart-center/interest-rates/pages/TextView.aspx?data=yield</w:t>
        </w:r>
      </w:hyperlink>
    </w:p>
  </w:footnote>
  <w:footnote w:id="13">
    <w:p w14:paraId="7DC01A92" w14:textId="77777777" w:rsidR="00B5414D" w:rsidRDefault="00B5414D" w:rsidP="004847C8">
      <w:pPr>
        <w:rPr>
          <w:rFonts w:ascii="Verdana" w:hAnsi="Verdana"/>
          <w:szCs w:val="20"/>
        </w:rPr>
      </w:pPr>
      <w:r w:rsidRPr="00280039">
        <w:rPr>
          <w:rStyle w:val="ab"/>
        </w:rPr>
        <w:footnoteRef/>
      </w:r>
      <w:r w:rsidRPr="00280039">
        <w:t xml:space="preserve"> </w:t>
      </w:r>
      <w:hyperlink r:id="rId9" w:history="1">
        <w:r w:rsidRPr="00280039">
          <w:rPr>
            <w:rStyle w:val="a5"/>
            <w:sz w:val="18"/>
          </w:rPr>
          <w:t>https://www.ecb.europa.eu/stats/financial_markets_and_interest_rates/euro_short-term_rate/html/index.en.html</w:t>
        </w:r>
      </w:hyperlink>
    </w:p>
  </w:footnote>
  <w:footnote w:id="14">
    <w:p w14:paraId="4DC8538A" w14:textId="77777777" w:rsidR="00B5414D" w:rsidRDefault="00B5414D" w:rsidP="002A3D95">
      <w:r>
        <w:rPr>
          <w:rStyle w:val="ab"/>
        </w:rPr>
        <w:footnoteRef/>
      </w:r>
      <w:r>
        <w:t xml:space="preserve"> </w:t>
      </w:r>
      <w:hyperlink r:id="rId10" w:history="1">
        <w:r w:rsidRPr="00CD3956">
          <w:rPr>
            <w:rStyle w:val="a5"/>
          </w:rPr>
          <w:t>https://www.ecb.europa.eu/stats/financial_markets_and_interest_rates/euro_area_yield_curves/html/index.en.html</w:t>
        </w:r>
      </w:hyperlink>
    </w:p>
  </w:footnote>
  <w:footnote w:id="15">
    <w:p w14:paraId="1939C2C1" w14:textId="77777777" w:rsidR="00B5414D" w:rsidRPr="00F052EE" w:rsidRDefault="00B5414D" w:rsidP="002A3D95">
      <w:pPr>
        <w:rPr>
          <w:sz w:val="18"/>
        </w:rPr>
      </w:pPr>
      <w:r w:rsidRPr="00F052EE">
        <w:rPr>
          <w:rStyle w:val="ab"/>
          <w:sz w:val="18"/>
        </w:rPr>
        <w:footnoteRef/>
      </w:r>
      <w:r w:rsidRPr="00F052EE">
        <w:rPr>
          <w:sz w:val="18"/>
        </w:rPr>
        <w:t xml:space="preserve"> В том числе соответствии со ст. 3. ФЗ №127 «О несостоятельности (банкротстве)», рассмотрение судом по существу заявлений о банкротстве и т.д. Факт подачи заявления о банкротстве может не рассматриваться как признак банкротства.</w:t>
      </w:r>
    </w:p>
  </w:footnote>
  <w:footnote w:id="16">
    <w:p w14:paraId="57F135FC" w14:textId="77777777" w:rsidR="00B5414D" w:rsidRPr="00F34832" w:rsidRDefault="00B5414D" w:rsidP="002A3D95">
      <w:r w:rsidRPr="00F052EE">
        <w:rPr>
          <w:rStyle w:val="ab"/>
          <w:sz w:val="18"/>
        </w:rPr>
        <w:footnoteRef/>
      </w:r>
      <w:r w:rsidRPr="00F052EE">
        <w:rPr>
          <w:sz w:val="18"/>
        </w:rPr>
        <w:t xml:space="preserve"> Понятие группы связанных лиц/компании вводится по аналогии со ст. 64 ФЗ №86  «О Центральном банке Российской Федерации (Банке России)»</w:t>
      </w:r>
    </w:p>
  </w:footnote>
  <w:footnote w:id="17">
    <w:p w14:paraId="5BB0F683" w14:textId="77777777" w:rsidR="00B5414D" w:rsidRDefault="00B5414D" w:rsidP="002A3D95">
      <w:r w:rsidRPr="00D4705A">
        <w:rPr>
          <w:rStyle w:val="ab"/>
          <w:sz w:val="18"/>
        </w:rPr>
        <w:footnoteRef/>
      </w:r>
      <w:r w:rsidRPr="00D4705A">
        <w:rPr>
          <w:sz w:val="18"/>
        </w:rPr>
        <w:t xml:space="preserve"> Например, исполнительное производство на сумму более чем половина месячного дохода физлица.</w:t>
      </w:r>
    </w:p>
  </w:footnote>
  <w:footnote w:id="18">
    <w:p w14:paraId="2EEDE3FF" w14:textId="77777777" w:rsidR="00B5414D" w:rsidRDefault="00B5414D" w:rsidP="002A3D95">
      <w:r>
        <w:rPr>
          <w:rStyle w:val="ab"/>
        </w:rPr>
        <w:footnoteRef/>
      </w:r>
      <w:r>
        <w:t xml:space="preserve"> Кроме случаев:</w:t>
      </w:r>
    </w:p>
    <w:p w14:paraId="77507065" w14:textId="77777777" w:rsidR="00B5414D" w:rsidRPr="00567222" w:rsidRDefault="00B5414D" w:rsidP="00D05311">
      <w:pPr>
        <w:numPr>
          <w:ilvl w:val="0"/>
          <w:numId w:val="58"/>
        </w:numPr>
        <w:rPr>
          <w:sz w:val="16"/>
          <w:szCs w:val="16"/>
        </w:rPr>
      </w:pPr>
      <w:r w:rsidRPr="00567222">
        <w:rPr>
          <w:sz w:val="16"/>
          <w:szCs w:val="16"/>
        </w:rPr>
        <w:t xml:space="preserve">наличия рыночных котировок по торгуемой задолженности контрагента/эмитента; </w:t>
      </w:r>
    </w:p>
    <w:p w14:paraId="63F4CCD3" w14:textId="77777777" w:rsidR="00B5414D" w:rsidRPr="00E2653F" w:rsidRDefault="00B5414D" w:rsidP="00D05311">
      <w:pPr>
        <w:numPr>
          <w:ilvl w:val="0"/>
          <w:numId w:val="58"/>
        </w:numPr>
        <w:jc w:val="both"/>
      </w:pPr>
      <w:r w:rsidRPr="00567222">
        <w:rPr>
          <w:sz w:val="16"/>
          <w:szCs w:val="16"/>
        </w:rPr>
        <w:t>оспариваемой задолженности по пеням и штрафам – до момента получения исполнительного листа.</w:t>
      </w:r>
    </w:p>
  </w:footnote>
  <w:footnote w:id="19">
    <w:p w14:paraId="4162977D" w14:textId="77777777" w:rsidR="00B5414D" w:rsidRDefault="00B5414D" w:rsidP="002A3D95">
      <w:r>
        <w:rPr>
          <w:rStyle w:val="ab"/>
        </w:rPr>
        <w:footnoteRef/>
      </w:r>
      <w:r>
        <w:t xml:space="preserve"> Спрэд для простоты может измеряться как разница между доходностью облигации и </w:t>
      </w:r>
      <w:r>
        <w:rPr>
          <w:lang w:val="en-US"/>
        </w:rPr>
        <w:t>G</w:t>
      </w:r>
      <w:r w:rsidRPr="00F34832">
        <w:t>-</w:t>
      </w:r>
      <w:r>
        <w:t>кривой на срок, равный модифицированной дюрации облигации.</w:t>
      </w:r>
    </w:p>
  </w:footnote>
  <w:footnote w:id="20">
    <w:p w14:paraId="7E5A7245" w14:textId="77777777" w:rsidR="00B5414D" w:rsidRDefault="00B5414D" w:rsidP="002A3D95">
      <w:r>
        <w:rPr>
          <w:rStyle w:val="ab"/>
        </w:rPr>
        <w:footnoteRef/>
      </w:r>
      <w:r>
        <w:t xml:space="preserve"> Например, увольнение без перехода на новую работу является признаком обесценения, при устройстве на новую работу задолженность заемщика перестанет считаться обесцененной через 6 мес.</w:t>
      </w:r>
    </w:p>
  </w:footnote>
  <w:footnote w:id="21">
    <w:p w14:paraId="6EDEB56D" w14:textId="77777777" w:rsidR="00B5414D" w:rsidRPr="00567222" w:rsidRDefault="00B5414D" w:rsidP="002A3D95">
      <w:pPr>
        <w:rPr>
          <w:sz w:val="16"/>
          <w:szCs w:val="16"/>
        </w:rPr>
      </w:pPr>
      <w:r w:rsidRPr="004A23A3">
        <w:rPr>
          <w:rStyle w:val="ab"/>
          <w:sz w:val="18"/>
        </w:rPr>
        <w:footnoteRef/>
      </w:r>
      <w:r w:rsidRPr="004A23A3">
        <w:rPr>
          <w:sz w:val="18"/>
        </w:rPr>
        <w:t xml:space="preserve"> </w:t>
      </w:r>
      <w:r w:rsidRPr="00567222">
        <w:rPr>
          <w:sz w:val="16"/>
          <w:szCs w:val="16"/>
        </w:rPr>
        <w:t>Данный срок используется только в случае наличия сообщений от эмитента, агента или иных уполномоченных лиц о намерении исполнить обязательства в ближайшие дни, т.е. о техническом характере просрочки. В случае отсутствия таких сообщений либо в случае объявления о дефолте дефолт считается наступившим со дня, следующего за установленным сроком исполнения обязательств.</w:t>
      </w:r>
    </w:p>
  </w:footnote>
  <w:footnote w:id="22">
    <w:p w14:paraId="70E31A3E" w14:textId="77777777" w:rsidR="00B5414D" w:rsidRDefault="00B5414D" w:rsidP="002A3D95">
      <w:r w:rsidRPr="00567222">
        <w:rPr>
          <w:rStyle w:val="ab"/>
          <w:sz w:val="16"/>
          <w:szCs w:val="16"/>
        </w:rPr>
        <w:footnoteRef/>
      </w:r>
      <w:r w:rsidRPr="00567222">
        <w:rPr>
          <w:sz w:val="16"/>
          <w:szCs w:val="16"/>
        </w:rPr>
        <w:t xml:space="preserve"> Данный срок используется только при наличии сообщений о выплате дивидендов эмитентом.</w:t>
      </w:r>
    </w:p>
  </w:footnote>
  <w:footnote w:id="23">
    <w:p w14:paraId="5372C245" w14:textId="77777777" w:rsidR="00B5414D" w:rsidRDefault="00B5414D" w:rsidP="002A3D95">
      <w:r w:rsidRPr="00F052EE">
        <w:rPr>
          <w:rStyle w:val="ab"/>
          <w:sz w:val="18"/>
        </w:rPr>
        <w:footnoteRef/>
      </w:r>
      <w:r w:rsidRPr="00F052EE">
        <w:rPr>
          <w:sz w:val="18"/>
        </w:rPr>
        <w:t xml:space="preserve"> Список ключевых компаний группы, к которой принадлежит контрагент, составляется Управляющей компанией самостоятельно.</w:t>
      </w:r>
    </w:p>
  </w:footnote>
  <w:footnote w:id="24">
    <w:p w14:paraId="7493B3BE" w14:textId="77777777" w:rsidR="00B5414D" w:rsidRDefault="00B5414D" w:rsidP="002A3D95">
      <w:r>
        <w:rPr>
          <w:rStyle w:val="ab"/>
        </w:rPr>
        <w:footnoteRef/>
      </w:r>
      <w:r>
        <w:t xml:space="preserve"> </w:t>
      </w:r>
      <w:r w:rsidRPr="006E7138">
        <w:t>https://ofd.nalog.ru/</w:t>
      </w:r>
    </w:p>
  </w:footnote>
  <w:footnote w:id="25">
    <w:p w14:paraId="616388B1" w14:textId="77777777" w:rsidR="00B5414D" w:rsidRDefault="00B5414D" w:rsidP="00D703EA">
      <w:pPr>
        <w:rPr>
          <w:rFonts w:ascii="Verdana" w:hAnsi="Verdana"/>
          <w:sz w:val="20"/>
          <w:szCs w:val="20"/>
        </w:rPr>
      </w:pPr>
      <w:r>
        <w:rPr>
          <w:rStyle w:val="ab"/>
        </w:rPr>
        <w:t xml:space="preserve"> </w:t>
      </w:r>
      <w:r>
        <w:rPr>
          <w:rStyle w:val="ab"/>
        </w:rPr>
        <w:footnoteRef/>
      </w:r>
      <w:r>
        <w:t xml:space="preserve"> Исключение составляет задолженность, обесценение по которой рассчитывалось ранее с помощью данных по </w:t>
      </w:r>
      <w:r>
        <w:rPr>
          <w:lang w:val="en-US"/>
        </w:rPr>
        <w:t>Cost</w:t>
      </w:r>
      <w:r w:rsidRPr="00ED09BC">
        <w:t xml:space="preserve"> </w:t>
      </w:r>
      <w:r>
        <w:rPr>
          <w:lang w:val="en-US"/>
        </w:rPr>
        <w:t>of</w:t>
      </w:r>
      <w:r w:rsidRPr="00ED09BC">
        <w:t xml:space="preserve"> </w:t>
      </w:r>
      <w:r>
        <w:rPr>
          <w:lang w:val="en-US"/>
        </w:rPr>
        <w:t>Risk</w:t>
      </w:r>
      <w:r w:rsidRPr="00ED09BC">
        <w:t xml:space="preserve"> </w:t>
      </w:r>
      <w:r>
        <w:t xml:space="preserve">по портфелям банков. </w:t>
      </w:r>
    </w:p>
  </w:footnote>
  <w:footnote w:id="26">
    <w:p w14:paraId="427FD421" w14:textId="77777777" w:rsidR="00B5414D" w:rsidRDefault="00B5414D" w:rsidP="00D703EA">
      <w:r>
        <w:rPr>
          <w:rStyle w:val="ab"/>
        </w:rPr>
        <w:footnoteRef/>
      </w:r>
      <w:r>
        <w:t xml:space="preserve"> вероятность дефолта может превышать вероятность дефолта для наихудшей категории качества, в случае выявления признаков обесценения в отношении контрагента.</w:t>
      </w:r>
    </w:p>
  </w:footnote>
  <w:footnote w:id="27">
    <w:p w14:paraId="3CF9CA0F" w14:textId="77777777" w:rsidR="00B5414D" w:rsidRPr="00DB6FD1" w:rsidRDefault="00B5414D" w:rsidP="002A3D95">
      <w:pPr>
        <w:rPr>
          <w:sz w:val="18"/>
        </w:rPr>
      </w:pPr>
      <w:r w:rsidRPr="00DB6FD1">
        <w:rPr>
          <w:rStyle w:val="ab"/>
          <w:sz w:val="18"/>
        </w:rPr>
        <w:footnoteRef/>
      </w:r>
      <w:r w:rsidRPr="00DB6FD1">
        <w:rPr>
          <w:sz w:val="18"/>
        </w:rPr>
        <w:t xml:space="preserve"> Если в публикуемых материалах рейтинговых агентств используется показатель </w:t>
      </w:r>
      <w:r w:rsidRPr="00DB6FD1">
        <w:rPr>
          <w:sz w:val="18"/>
          <w:lang w:val="en-US"/>
        </w:rPr>
        <w:t>Recovery</w:t>
      </w:r>
      <w:r w:rsidRPr="00DB6FD1">
        <w:rPr>
          <w:sz w:val="18"/>
        </w:rPr>
        <w:t xml:space="preserve"> </w:t>
      </w:r>
      <w:r w:rsidRPr="00DB6FD1">
        <w:rPr>
          <w:sz w:val="18"/>
          <w:lang w:val="en-US"/>
        </w:rPr>
        <w:t>Rate</w:t>
      </w:r>
      <w:r w:rsidRPr="00DB6FD1">
        <w:rPr>
          <w:sz w:val="18"/>
        </w:rPr>
        <w:t xml:space="preserve"> (</w:t>
      </w:r>
      <w:r w:rsidRPr="00DB6FD1">
        <w:rPr>
          <w:sz w:val="18"/>
          <w:lang w:val="en-US"/>
        </w:rPr>
        <w:t>RR</w:t>
      </w:r>
      <w:r w:rsidRPr="00DB6FD1">
        <w:rPr>
          <w:sz w:val="18"/>
        </w:rPr>
        <w:t>), то Потери при дефолте (LGD) определяются следующим образом:</w:t>
      </w:r>
    </w:p>
    <w:p w14:paraId="55C973A5" w14:textId="77777777" w:rsidR="00B5414D" w:rsidRPr="00DB6FD1" w:rsidRDefault="00B5414D" w:rsidP="002A3D95">
      <w:pPr>
        <w:rPr>
          <w:sz w:val="18"/>
        </w:rPr>
      </w:pPr>
      <w:r w:rsidRPr="00DB6FD1">
        <w:rPr>
          <w:sz w:val="18"/>
        </w:rPr>
        <w:t>LGD=1-RR,</w:t>
      </w:r>
    </w:p>
    <w:p w14:paraId="2C6664BF" w14:textId="77777777" w:rsidR="00B5414D" w:rsidRPr="00DB6FD1" w:rsidRDefault="00B5414D" w:rsidP="002A3D95">
      <w:pPr>
        <w:rPr>
          <w:sz w:val="18"/>
        </w:rPr>
      </w:pPr>
      <w:r w:rsidRPr="00DB6FD1">
        <w:rPr>
          <w:sz w:val="18"/>
        </w:rPr>
        <w:t>где:</w:t>
      </w:r>
    </w:p>
    <w:p w14:paraId="6F33CB20" w14:textId="77777777" w:rsidR="00B5414D" w:rsidRDefault="00B5414D" w:rsidP="002A3D95">
      <w:r w:rsidRPr="00DB6FD1">
        <w:rPr>
          <w:sz w:val="18"/>
        </w:rPr>
        <w:t xml:space="preserve"> RR (recovery rate) – ожидаемый процент возврата по просроченным выплатам, приводимый агентствами для каждого рейтинга в ежегодных исследованиях.</w:t>
      </w:r>
    </w:p>
  </w:footnote>
  <w:footnote w:id="28">
    <w:p w14:paraId="31047F5D" w14:textId="77777777" w:rsidR="00B5414D" w:rsidRDefault="00B5414D" w:rsidP="002A3D95">
      <w:r>
        <w:rPr>
          <w:rStyle w:val="ab"/>
        </w:rPr>
        <w:footnoteRef/>
      </w:r>
      <w:r>
        <w:t xml:space="preserve"> Для акций -риск-параметр для 3-го диапазона для рыночного риска (ставка риска падения цены), рассчитываемый АО «НКЦ» для соответствующей бумаги; для облигаций – риск-параметр для 2-го диапазона для рыночного риска (ставка риска падения цены), рассчитываемый АО «НКЦ».</w:t>
      </w:r>
    </w:p>
  </w:footnote>
  <w:footnote w:id="29">
    <w:p w14:paraId="1496ECA1" w14:textId="77777777" w:rsidR="00B5414D" w:rsidRDefault="00B5414D" w:rsidP="002A3D95">
      <w:r>
        <w:rPr>
          <w:rStyle w:val="ab"/>
        </w:rPr>
        <w:footnoteRef/>
      </w:r>
      <w:r>
        <w:t xml:space="preserve"> Например, гостиницы, хостелы и т.п.</w:t>
      </w:r>
    </w:p>
  </w:footnote>
  <w:footnote w:id="30">
    <w:p w14:paraId="7D0087CB" w14:textId="77777777" w:rsidR="00B5414D" w:rsidRPr="00567222" w:rsidRDefault="00B5414D" w:rsidP="00567222">
      <w:pPr>
        <w:spacing w:after="0"/>
        <w:rPr>
          <w:rFonts w:asciiTheme="minorHAnsi" w:hAnsiTheme="minorHAnsi"/>
          <w:sz w:val="18"/>
          <w:szCs w:val="18"/>
        </w:rPr>
      </w:pPr>
      <w:r w:rsidRPr="00567222">
        <w:rPr>
          <w:rStyle w:val="ab"/>
          <w:rFonts w:asciiTheme="minorHAnsi" w:hAnsiTheme="minorHAnsi"/>
          <w:sz w:val="18"/>
          <w:szCs w:val="18"/>
        </w:rPr>
        <w:footnoteRef/>
      </w:r>
      <w:r w:rsidRPr="00567222">
        <w:rPr>
          <w:rFonts w:asciiTheme="minorHAnsi" w:hAnsiTheme="minorHAnsi"/>
          <w:sz w:val="18"/>
          <w:szCs w:val="18"/>
        </w:rPr>
        <w:t xml:space="preserve"> Способ усреднения кредитных спрэдов устанавливается самостоятельно, может использоваться как среднее арифметическое, так и средневзвешенное по объемам либо оборотам торгов значение.</w:t>
      </w:r>
    </w:p>
    <w:p w14:paraId="18667680" w14:textId="77777777" w:rsidR="00B5414D" w:rsidRPr="00567222" w:rsidRDefault="00B5414D" w:rsidP="00567222">
      <w:pPr>
        <w:rPr>
          <w:rFonts w:asciiTheme="minorHAnsi" w:hAnsiTheme="minorHAnsi"/>
          <w:sz w:val="18"/>
          <w:szCs w:val="18"/>
        </w:rPr>
      </w:pPr>
    </w:p>
  </w:footnote>
  <w:footnote w:id="31">
    <w:p w14:paraId="2DDCDACD" w14:textId="77777777" w:rsidR="00B5414D" w:rsidRDefault="00B5414D" w:rsidP="00567222">
      <w:r w:rsidRPr="00567222">
        <w:rPr>
          <w:rStyle w:val="ab"/>
          <w:rFonts w:asciiTheme="minorHAnsi" w:hAnsiTheme="minorHAnsi"/>
          <w:sz w:val="18"/>
          <w:szCs w:val="18"/>
        </w:rPr>
        <w:footnoteRef/>
      </w:r>
      <w:r w:rsidRPr="00567222">
        <w:rPr>
          <w:rFonts w:asciiTheme="minorHAnsi" w:hAnsiTheme="minorHAnsi"/>
          <w:sz w:val="18"/>
          <w:szCs w:val="18"/>
        </w:rPr>
        <w:t xml:space="preserve"> Компания вправе использовать другие модели для оценки кредитных спрэдов, с том числе через более сложные модели или через рынок </w:t>
      </w:r>
      <w:r w:rsidRPr="00567222">
        <w:rPr>
          <w:rFonts w:asciiTheme="minorHAnsi" w:hAnsiTheme="minorHAnsi"/>
          <w:sz w:val="18"/>
          <w:szCs w:val="18"/>
          <w:lang w:val="en-US"/>
        </w:rPr>
        <w:t>CDS</w:t>
      </w:r>
      <w:r w:rsidRPr="00567222">
        <w:rPr>
          <w:rFonts w:asciiTheme="minorHAnsi" w:hAnsiTheme="minorHAnsi"/>
          <w:sz w:val="18"/>
          <w:szCs w:val="18"/>
        </w:rPr>
        <w:t>.</w:t>
      </w:r>
    </w:p>
  </w:footnote>
  <w:footnote w:id="32">
    <w:p w14:paraId="0CC2BD32" w14:textId="77777777" w:rsidR="00B5414D" w:rsidRPr="00567222" w:rsidRDefault="00B5414D" w:rsidP="00D94BA7">
      <w:pPr>
        <w:jc w:val="both"/>
        <w:rPr>
          <w:rFonts w:asciiTheme="minorHAnsi" w:hAnsiTheme="minorHAnsi"/>
          <w:sz w:val="16"/>
          <w:szCs w:val="16"/>
        </w:rPr>
      </w:pPr>
      <w:r w:rsidRPr="00D94BA7">
        <w:rPr>
          <w:rStyle w:val="ab"/>
        </w:rPr>
        <w:footnoteRef/>
      </w:r>
      <w:r w:rsidRPr="00D94BA7">
        <w:rPr>
          <w:b/>
        </w:rPr>
        <w:t xml:space="preserve"> </w:t>
      </w:r>
      <w:r w:rsidRPr="00567222">
        <w:rPr>
          <w:rFonts w:asciiTheme="minorHAnsi" w:hAnsiTheme="minorHAnsi"/>
          <w:sz w:val="16"/>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25E0EF06" w14:textId="77777777" w:rsidR="00B5414D" w:rsidRPr="00567222" w:rsidRDefault="00B5414D" w:rsidP="00D94BA7">
      <w:pPr>
        <w:jc w:val="both"/>
        <w:rPr>
          <w:rFonts w:asciiTheme="minorHAnsi" w:hAnsiTheme="minorHAnsi"/>
          <w:sz w:val="16"/>
          <w:szCs w:val="16"/>
        </w:rPr>
      </w:pPr>
      <w:r w:rsidRPr="00567222">
        <w:rPr>
          <w:rFonts w:asciiTheme="minorHAnsi" w:hAnsiTheme="minorHAnsi"/>
          <w:sz w:val="16"/>
          <w:szCs w:val="16"/>
        </w:rPr>
        <w:t xml:space="preserve">Для целей аппроксимации размера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413E7413" w14:textId="77777777" w:rsidR="00B5414D" w:rsidRPr="00D94BA7" w:rsidRDefault="00B5414D" w:rsidP="00D94BA7">
      <w:pPr>
        <w:jc w:val="both"/>
        <w:rPr>
          <w:b/>
        </w:rPr>
      </w:pPr>
      <w:r w:rsidRPr="00567222">
        <w:rPr>
          <w:rFonts w:asciiTheme="minorHAnsi" w:hAnsiTheme="minorHAnsi"/>
          <w:sz w:val="16"/>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r>
        <w:rPr>
          <w:b/>
        </w:rPr>
        <w:t xml:space="preserve"> </w:t>
      </w:r>
    </w:p>
  </w:footnote>
  <w:footnote w:id="33">
    <w:p w14:paraId="13F7CDE7" w14:textId="77777777" w:rsidR="00B5414D" w:rsidRPr="00987453" w:rsidRDefault="00B5414D" w:rsidP="009C22F7">
      <w:pPr>
        <w:jc w:val="both"/>
        <w:rPr>
          <w:sz w:val="18"/>
          <w:szCs w:val="16"/>
        </w:rPr>
      </w:pPr>
      <w:r w:rsidRPr="00987453">
        <w:rPr>
          <w:rStyle w:val="ab"/>
          <w:sz w:val="22"/>
        </w:rPr>
        <w:footnoteRef/>
      </w:r>
      <w:r w:rsidRPr="00987453">
        <w:t xml:space="preserve"> </w:t>
      </w:r>
      <w:r w:rsidRPr="00987453">
        <w:rPr>
          <w:sz w:val="18"/>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24A2D7F5" w14:textId="77777777" w:rsidR="00B5414D" w:rsidRPr="00987453" w:rsidRDefault="00B5414D" w:rsidP="009C22F7">
      <w:pPr>
        <w:jc w:val="both"/>
        <w:rPr>
          <w:sz w:val="18"/>
          <w:szCs w:val="16"/>
        </w:rPr>
      </w:pPr>
      <w:r w:rsidRPr="00987453">
        <w:rPr>
          <w:sz w:val="18"/>
          <w:szCs w:val="16"/>
        </w:rPr>
        <w:t xml:space="preserve">Для целей аппроксимации размера активов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16439EF5" w14:textId="77777777" w:rsidR="00B5414D" w:rsidRDefault="00B5414D" w:rsidP="009C22F7">
      <w:r w:rsidRPr="00987453">
        <w:rPr>
          <w:sz w:val="18"/>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p>
  </w:footnote>
  <w:footnote w:id="34">
    <w:p w14:paraId="3B35E563" w14:textId="77777777" w:rsidR="00B5414D" w:rsidRDefault="00B5414D" w:rsidP="00BA43DC">
      <w:pPr>
        <w:jc w:val="both"/>
        <w:rPr>
          <w:rFonts w:ascii="Times New Roman" w:hAnsi="Times New Roman"/>
          <w:sz w:val="20"/>
          <w:szCs w:val="20"/>
        </w:rPr>
      </w:pPr>
      <w:r>
        <w:rPr>
          <w:rStyle w:val="ab"/>
        </w:rPr>
        <w:footnoteRef/>
      </w:r>
      <w:r>
        <w:rPr>
          <w:rFonts w:ascii="Times New Roman" w:hAnsi="Times New Roman"/>
        </w:rPr>
        <w:t>С учетом данного условия о дате начала применения ранее неизвестных величин (ставки купона, суммы погашаемого основного долга, за исключением облигаций с индексируемым номиналом) выполняется расчёт иных показателей, предусмотренных настоящей Методикой.</w:t>
      </w:r>
    </w:p>
  </w:footnote>
  <w:footnote w:id="35">
    <w:p w14:paraId="1DADCC47" w14:textId="77777777" w:rsidR="00B5414D" w:rsidRDefault="00B5414D" w:rsidP="00BA43DC">
      <w:pPr>
        <w:jc w:val="both"/>
        <w:rPr>
          <w:rFonts w:ascii="Times New Roman" w:hAnsi="Times New Roman"/>
        </w:rPr>
      </w:pPr>
      <w:r>
        <w:rPr>
          <w:rStyle w:val="ab"/>
        </w:rPr>
        <w:footnoteRef/>
      </w:r>
      <w:r>
        <w:rPr>
          <w:rFonts w:ascii="Times New Roman" w:hAnsi="Times New Roman"/>
        </w:rPr>
        <w:t xml:space="preserve"> При этом пересчету подлежат в т.ч. все денежные потоки, следующие за датой окончания соответствующего купонного периода, по окончании которого производится выплата основного долга.</w:t>
      </w:r>
    </w:p>
  </w:footnote>
  <w:footnote w:id="36">
    <w:p w14:paraId="2F8273F2" w14:textId="77777777" w:rsidR="00B5414D" w:rsidRDefault="00B5414D" w:rsidP="00BA43DC">
      <w:pPr>
        <w:rPr>
          <w:rFonts w:ascii="Times New Roman" w:hAnsi="Times New Roman"/>
        </w:rPr>
      </w:pPr>
      <w:r>
        <w:rPr>
          <w:rStyle w:val="ab"/>
        </w:rPr>
        <w:footnoteRef/>
      </w:r>
      <w:r>
        <w:rPr>
          <w:rFonts w:ascii="Times New Roman" w:hAnsi="Times New Roman"/>
        </w:rPr>
        <w:t xml:space="preserve"> Например, MAX (инфляция; ключевая ставка)</w:t>
      </w:r>
    </w:p>
  </w:footnote>
  <w:footnote w:id="37">
    <w:p w14:paraId="3AA6CE93" w14:textId="77777777" w:rsidR="00B5414D" w:rsidRDefault="00B5414D" w:rsidP="00BA43DC">
      <w:pPr>
        <w:spacing w:after="0" w:line="240" w:lineRule="auto"/>
        <w:ind w:left="567"/>
        <w:jc w:val="both"/>
        <w:rPr>
          <w:rFonts w:ascii="Times New Roman" w:hAnsi="Times New Roman"/>
          <w:sz w:val="24"/>
          <w:szCs w:val="24"/>
        </w:rPr>
      </w:pPr>
      <w:r>
        <w:rPr>
          <w:rStyle w:val="ab"/>
        </w:rPr>
        <w:footnoteRef/>
      </w:r>
      <w:r>
        <w:t xml:space="preserve"> </w:t>
      </w:r>
      <w:r>
        <w:rPr>
          <w:sz w:val="16"/>
          <w:szCs w:val="16"/>
        </w:rPr>
        <w:t xml:space="preserve">При расчете </w:t>
      </w:r>
      <w:r>
        <w:rPr>
          <w:rFonts w:ascii="Times New Roman" w:hAnsi="Times New Roman"/>
          <w:sz w:val="16"/>
          <w:szCs w:val="16"/>
        </w:rPr>
        <w:t xml:space="preserve">средневзвешенного срока до погашения / оферты промежуточные округления не производятся, результат </w:t>
      </w:r>
      <w:r>
        <w:rPr>
          <w:sz w:val="16"/>
          <w:szCs w:val="16"/>
        </w:rPr>
        <w:t>выражается в годах, округляется до 4 знаков после запятой. В случае если выпуском предусмотрено частичное погашение основного долга, но величины погашаемых частей не определены на весь ожидаемый срок обращения (например, для облигаций с ипотечным покрытием), такие суммы считаются установленными в дату окончания купонного периода, по</w:t>
      </w:r>
      <w:r>
        <w:rPr>
          <w:rFonts w:ascii="Times New Roman" w:hAnsi="Times New Roman"/>
          <w:sz w:val="16"/>
          <w:szCs w:val="16"/>
        </w:rPr>
        <w:t xml:space="preserve"> </w:t>
      </w:r>
      <w:r>
        <w:rPr>
          <w:sz w:val="16"/>
          <w:szCs w:val="16"/>
        </w:rPr>
        <w:t>истечении которого они выплачиваются, и учитываются в расчете любых величин, предусмотренных настоящей методикой, с этой даты.</w:t>
      </w:r>
    </w:p>
    <w:p w14:paraId="2C4FB811" w14:textId="77777777" w:rsidR="00B5414D" w:rsidRDefault="00B5414D" w:rsidP="00BA43DC">
      <w:pPr>
        <w:rPr>
          <w:rFonts w:ascii="Verdana" w:hAnsi="Verdana"/>
          <w:sz w:val="20"/>
          <w:szCs w:val="20"/>
        </w:rPr>
      </w:pPr>
    </w:p>
  </w:footnote>
  <w:footnote w:id="38">
    <w:p w14:paraId="095535C7" w14:textId="77777777" w:rsidR="00B5414D" w:rsidRDefault="00B5414D" w:rsidP="00BA43DC">
      <w:pPr>
        <w:jc w:val="both"/>
        <w:rPr>
          <w:rFonts w:ascii="Times New Roman" w:hAnsi="Times New Roman"/>
        </w:rPr>
      </w:pPr>
      <w:r>
        <w:rPr>
          <w:rStyle w:val="ab"/>
        </w:rPr>
        <w:footnoteRef/>
      </w:r>
      <w:r>
        <w:rPr>
          <w:rFonts w:ascii="Times New Roman" w:hAnsi="Times New Roman"/>
        </w:rPr>
        <w:t xml:space="preserve"> Методика расчёта кривой бескупонной доходности опубликована на сайте Московской биржи. В целях расчета справедливой стоимости используется редакция методики, актуальная на дату вступления в силу настоящих Правил. При внесении изменений в методику расчёта кривой бескупонной доходности дата начала использования измененной методики в целях расчета справедливой стоимости устанавливается отдельно по согласованию со специализированным депозитарием.</w:t>
      </w:r>
    </w:p>
  </w:footnote>
  <w:footnote w:id="39">
    <w:p w14:paraId="24FCBF5A" w14:textId="77777777" w:rsidR="00B5414D" w:rsidRDefault="00B5414D" w:rsidP="00BA43DC">
      <w:pPr>
        <w:rPr>
          <w:rFonts w:ascii="Verdana" w:hAnsi="Verdana"/>
        </w:rPr>
      </w:pPr>
      <w:r>
        <w:rPr>
          <w:rStyle w:val="ab"/>
        </w:rPr>
        <w:footnoteRef/>
      </w:r>
      <w:r>
        <w:t xml:space="preserve"> Используется кредитный рейтинг по шкале рейтингового агентства, соответствующей валюте основного долга  </w:t>
      </w:r>
    </w:p>
  </w:footnote>
  <w:footnote w:id="40">
    <w:p w14:paraId="0F45B20B" w14:textId="77777777" w:rsidR="00B5414D" w:rsidRDefault="00B5414D" w:rsidP="00BA43DC">
      <w:r>
        <w:rPr>
          <w:rStyle w:val="ab"/>
        </w:rPr>
        <w:footnoteRef/>
      </w:r>
      <w:r>
        <w:t xml:space="preserve"> </w:t>
      </w:r>
      <w:r>
        <w:rPr>
          <w:sz w:val="18"/>
        </w:rPr>
        <w:t>Если на дату определения справедливой стоимости долговой ценной бумаги, включенной в IV рейтинговую группу, значение медианного кредитного спреда для неё не установлено, то расчетная цена такой долговой ценной бумаги определенная методом приведенной стоимости будущих денежных потоков признается равной нулю.</w:t>
      </w:r>
    </w:p>
  </w:footnote>
  <w:footnote w:id="41">
    <w:p w14:paraId="7FCC1B5F" w14:textId="77777777" w:rsidR="00B5414D" w:rsidRDefault="00B5414D" w:rsidP="00BA43DC">
      <w:pPr>
        <w:jc w:val="both"/>
      </w:pPr>
      <w:r>
        <w:rPr>
          <w:rStyle w:val="ab"/>
        </w:rPr>
        <w:footnoteRef/>
      </w:r>
      <w:r>
        <w:t xml:space="preserve"> Определение частоты дефолтов производится на основании публичных доступных данных по дефолтам, публикуемых на сайте соответствующего агентства. </w:t>
      </w:r>
    </w:p>
    <w:p w14:paraId="5443015F" w14:textId="77777777" w:rsidR="00B5414D" w:rsidRDefault="00B5414D" w:rsidP="00BA43DC">
      <w:pPr>
        <w:jc w:val="both"/>
      </w:pPr>
      <w:r>
        <w:t>Дефолт в отношении хотя бы одного обязательства, предусмотренного хотя бы одним выпуском долговых ценных бумаг эмитента, предполагает дефолт эмитента.</w:t>
      </w:r>
    </w:p>
  </w:footnote>
  <w:footnote w:id="42">
    <w:p w14:paraId="59B77A58" w14:textId="77777777" w:rsidR="00224F6F" w:rsidRDefault="00224F6F" w:rsidP="00224F6F">
      <w:pPr>
        <w:pStyle w:val="af2"/>
        <w:rPr>
          <w:sz w:val="16"/>
        </w:rPr>
      </w:pPr>
      <w:r>
        <w:rPr>
          <w:rStyle w:val="af4"/>
        </w:rPr>
        <w:footnoteRef/>
      </w:r>
      <w:r>
        <w:t xml:space="preserve"> </w:t>
      </w:r>
      <w:r>
        <w:rPr>
          <w:sz w:val="16"/>
        </w:rPr>
        <w:t xml:space="preserve">Если в публикуемых материалах рейтинговых агентств используется показатель </w:t>
      </w:r>
      <w:r>
        <w:rPr>
          <w:sz w:val="16"/>
          <w:lang w:val="en-US"/>
        </w:rPr>
        <w:t>Recovery</w:t>
      </w:r>
      <w:r w:rsidRPr="00224F6F">
        <w:rPr>
          <w:sz w:val="16"/>
        </w:rPr>
        <w:t xml:space="preserve"> </w:t>
      </w:r>
      <w:r>
        <w:rPr>
          <w:sz w:val="16"/>
          <w:lang w:val="en-US"/>
        </w:rPr>
        <w:t>Rate</w:t>
      </w:r>
      <w:r>
        <w:rPr>
          <w:sz w:val="16"/>
        </w:rPr>
        <w:t xml:space="preserve"> (</w:t>
      </w:r>
      <w:r>
        <w:rPr>
          <w:sz w:val="16"/>
          <w:lang w:val="en-US"/>
        </w:rPr>
        <w:t>RR</w:t>
      </w:r>
      <w:r>
        <w:rPr>
          <w:sz w:val="16"/>
        </w:rPr>
        <w:t>), то потери при дефолте (LGD) определяются следующим образом:</w:t>
      </w:r>
    </w:p>
    <w:p w14:paraId="6EDD5D4E" w14:textId="77777777" w:rsidR="00224F6F" w:rsidRDefault="00224F6F" w:rsidP="00224F6F">
      <w:pPr>
        <w:pStyle w:val="af2"/>
        <w:rPr>
          <w:sz w:val="16"/>
        </w:rPr>
      </w:pPr>
      <w:r>
        <w:rPr>
          <w:sz w:val="16"/>
        </w:rPr>
        <w:t>LGD=1-RR,</w:t>
      </w:r>
    </w:p>
    <w:p w14:paraId="3D516349" w14:textId="77777777" w:rsidR="00224F6F" w:rsidRDefault="00224F6F" w:rsidP="00224F6F">
      <w:pPr>
        <w:pStyle w:val="af2"/>
        <w:rPr>
          <w:sz w:val="16"/>
        </w:rPr>
      </w:pPr>
      <w:r>
        <w:rPr>
          <w:sz w:val="16"/>
        </w:rPr>
        <w:t>где:</w:t>
      </w:r>
    </w:p>
    <w:p w14:paraId="765ABB5C" w14:textId="77777777" w:rsidR="00224F6F" w:rsidRDefault="00224F6F" w:rsidP="00224F6F">
      <w:pPr>
        <w:pStyle w:val="af2"/>
      </w:pPr>
      <w:r>
        <w:rPr>
          <w:sz w:val="16"/>
        </w:rPr>
        <w:t xml:space="preserve"> RR (recovery rate) – ожидаемый процент возврата по просроченным выплатам, приводимый агентствами для каждого рейтинга в ежегодных исследованиях.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56556"/>
    <w:multiLevelType w:val="multilevel"/>
    <w:tmpl w:val="B7885564"/>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22A4408"/>
    <w:multiLevelType w:val="hybridMultilevel"/>
    <w:tmpl w:val="745C6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3F61D6"/>
    <w:multiLevelType w:val="hybridMultilevel"/>
    <w:tmpl w:val="D848DFE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2CD0E9C"/>
    <w:multiLevelType w:val="hybridMultilevel"/>
    <w:tmpl w:val="5778F258"/>
    <w:lvl w:ilvl="0" w:tplc="B3E8516A">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03602CB5"/>
    <w:multiLevelType w:val="hybridMultilevel"/>
    <w:tmpl w:val="AFF4C40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3C7290A"/>
    <w:multiLevelType w:val="hybridMultilevel"/>
    <w:tmpl w:val="3B0EDC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54B2FD2"/>
    <w:multiLevelType w:val="hybridMultilevel"/>
    <w:tmpl w:val="E1703F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060C2BBA"/>
    <w:multiLevelType w:val="hybridMultilevel"/>
    <w:tmpl w:val="7E7263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6C14C0B"/>
    <w:multiLevelType w:val="hybridMultilevel"/>
    <w:tmpl w:val="34669962"/>
    <w:lvl w:ilvl="0" w:tplc="615A51F6">
      <w:start w:val="1"/>
      <w:numFmt w:val="bullet"/>
      <w:lvlText w:val=""/>
      <w:lvlJc w:val="left"/>
      <w:pPr>
        <w:ind w:left="1004" w:hanging="360"/>
      </w:pPr>
      <w:rPr>
        <w:rFonts w:ascii="Symbol" w:hAnsi="Symbol" w:hint="default"/>
        <w:sz w:val="20"/>
        <w:szCs w:val="2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15:restartNumberingAfterBreak="0">
    <w:nsid w:val="0A47047B"/>
    <w:multiLevelType w:val="hybridMultilevel"/>
    <w:tmpl w:val="27681CCA"/>
    <w:lvl w:ilvl="0" w:tplc="664629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B1B4591"/>
    <w:multiLevelType w:val="hybridMultilevel"/>
    <w:tmpl w:val="BDF267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0B697016"/>
    <w:multiLevelType w:val="hybridMultilevel"/>
    <w:tmpl w:val="A114FC52"/>
    <w:lvl w:ilvl="0" w:tplc="78E2039C">
      <w:start w:val="1"/>
      <w:numFmt w:val="bullet"/>
      <w:lvlText w:val=""/>
      <w:lvlJc w:val="left"/>
      <w:pPr>
        <w:ind w:left="1365" w:hanging="360"/>
      </w:pPr>
      <w:rPr>
        <w:rFonts w:ascii="Symbol" w:hAnsi="Symbol" w:hint="default"/>
        <w:color w:val="auto"/>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2" w15:restartNumberingAfterBreak="0">
    <w:nsid w:val="0BF32093"/>
    <w:multiLevelType w:val="hybridMultilevel"/>
    <w:tmpl w:val="A96C0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E713A39"/>
    <w:multiLevelType w:val="hybridMultilevel"/>
    <w:tmpl w:val="B5BC6A8E"/>
    <w:lvl w:ilvl="0" w:tplc="04190001">
      <w:start w:val="1"/>
      <w:numFmt w:val="bullet"/>
      <w:lvlText w:val=""/>
      <w:lvlJc w:val="left"/>
      <w:pPr>
        <w:ind w:left="2517" w:hanging="360"/>
      </w:pPr>
      <w:rPr>
        <w:rFonts w:ascii="Symbol" w:hAnsi="Symbol" w:hint="default"/>
      </w:rPr>
    </w:lvl>
    <w:lvl w:ilvl="1" w:tplc="04190003" w:tentative="1">
      <w:start w:val="1"/>
      <w:numFmt w:val="bullet"/>
      <w:lvlText w:val="o"/>
      <w:lvlJc w:val="left"/>
      <w:pPr>
        <w:ind w:left="3237" w:hanging="360"/>
      </w:pPr>
      <w:rPr>
        <w:rFonts w:ascii="Courier New" w:hAnsi="Courier New" w:cs="Courier New" w:hint="default"/>
      </w:rPr>
    </w:lvl>
    <w:lvl w:ilvl="2" w:tplc="04190005" w:tentative="1">
      <w:start w:val="1"/>
      <w:numFmt w:val="bullet"/>
      <w:lvlText w:val=""/>
      <w:lvlJc w:val="left"/>
      <w:pPr>
        <w:ind w:left="3957" w:hanging="360"/>
      </w:pPr>
      <w:rPr>
        <w:rFonts w:ascii="Wingdings" w:hAnsi="Wingdings" w:hint="default"/>
      </w:rPr>
    </w:lvl>
    <w:lvl w:ilvl="3" w:tplc="04190001" w:tentative="1">
      <w:start w:val="1"/>
      <w:numFmt w:val="bullet"/>
      <w:lvlText w:val=""/>
      <w:lvlJc w:val="left"/>
      <w:pPr>
        <w:ind w:left="4677" w:hanging="360"/>
      </w:pPr>
      <w:rPr>
        <w:rFonts w:ascii="Symbol" w:hAnsi="Symbol" w:hint="default"/>
      </w:rPr>
    </w:lvl>
    <w:lvl w:ilvl="4" w:tplc="04190003" w:tentative="1">
      <w:start w:val="1"/>
      <w:numFmt w:val="bullet"/>
      <w:lvlText w:val="o"/>
      <w:lvlJc w:val="left"/>
      <w:pPr>
        <w:ind w:left="5397" w:hanging="360"/>
      </w:pPr>
      <w:rPr>
        <w:rFonts w:ascii="Courier New" w:hAnsi="Courier New" w:cs="Courier New" w:hint="default"/>
      </w:rPr>
    </w:lvl>
    <w:lvl w:ilvl="5" w:tplc="04190005" w:tentative="1">
      <w:start w:val="1"/>
      <w:numFmt w:val="bullet"/>
      <w:lvlText w:val=""/>
      <w:lvlJc w:val="left"/>
      <w:pPr>
        <w:ind w:left="6117" w:hanging="360"/>
      </w:pPr>
      <w:rPr>
        <w:rFonts w:ascii="Wingdings" w:hAnsi="Wingdings" w:hint="default"/>
      </w:rPr>
    </w:lvl>
    <w:lvl w:ilvl="6" w:tplc="04190001" w:tentative="1">
      <w:start w:val="1"/>
      <w:numFmt w:val="bullet"/>
      <w:lvlText w:val=""/>
      <w:lvlJc w:val="left"/>
      <w:pPr>
        <w:ind w:left="6837" w:hanging="360"/>
      </w:pPr>
      <w:rPr>
        <w:rFonts w:ascii="Symbol" w:hAnsi="Symbol" w:hint="default"/>
      </w:rPr>
    </w:lvl>
    <w:lvl w:ilvl="7" w:tplc="04190003" w:tentative="1">
      <w:start w:val="1"/>
      <w:numFmt w:val="bullet"/>
      <w:lvlText w:val="o"/>
      <w:lvlJc w:val="left"/>
      <w:pPr>
        <w:ind w:left="7557" w:hanging="360"/>
      </w:pPr>
      <w:rPr>
        <w:rFonts w:ascii="Courier New" w:hAnsi="Courier New" w:cs="Courier New" w:hint="default"/>
      </w:rPr>
    </w:lvl>
    <w:lvl w:ilvl="8" w:tplc="04190005" w:tentative="1">
      <w:start w:val="1"/>
      <w:numFmt w:val="bullet"/>
      <w:lvlText w:val=""/>
      <w:lvlJc w:val="left"/>
      <w:pPr>
        <w:ind w:left="8277" w:hanging="360"/>
      </w:pPr>
      <w:rPr>
        <w:rFonts w:ascii="Wingdings" w:hAnsi="Wingdings" w:hint="default"/>
      </w:rPr>
    </w:lvl>
  </w:abstractNum>
  <w:abstractNum w:abstractNumId="14" w15:restartNumberingAfterBreak="0">
    <w:nsid w:val="0EA16434"/>
    <w:multiLevelType w:val="hybridMultilevel"/>
    <w:tmpl w:val="CD3E531A"/>
    <w:lvl w:ilvl="0" w:tplc="D09EF5A8">
      <w:start w:val="1"/>
      <w:numFmt w:val="lowerLetter"/>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0F270498"/>
    <w:multiLevelType w:val="hybridMultilevel"/>
    <w:tmpl w:val="5EA6789E"/>
    <w:lvl w:ilvl="0" w:tplc="04190017">
      <w:start w:val="1"/>
      <w:numFmt w:val="lowerLetter"/>
      <w:lvlText w:val="%1)"/>
      <w:lvlJc w:val="left"/>
      <w:pPr>
        <w:ind w:left="680" w:hanging="360"/>
      </w:pPr>
      <w:rPr>
        <w:rFonts w:hint="default"/>
      </w:rPr>
    </w:lvl>
    <w:lvl w:ilvl="1" w:tplc="04190019">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6" w15:restartNumberingAfterBreak="0">
    <w:nsid w:val="137F18AB"/>
    <w:multiLevelType w:val="hybridMultilevel"/>
    <w:tmpl w:val="FDDEF8E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7" w15:restartNumberingAfterBreak="0">
    <w:nsid w:val="13EB5BD9"/>
    <w:multiLevelType w:val="hybridMultilevel"/>
    <w:tmpl w:val="D93EB68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8" w15:restartNumberingAfterBreak="0">
    <w:nsid w:val="14DE3196"/>
    <w:multiLevelType w:val="hybridMultilevel"/>
    <w:tmpl w:val="A0A2CD88"/>
    <w:lvl w:ilvl="0" w:tplc="95CC3F8E">
      <w:start w:val="1"/>
      <w:numFmt w:val="bullet"/>
      <w:lvlText w:val=""/>
      <w:lvlJc w:val="left"/>
      <w:pPr>
        <w:ind w:left="1365" w:hanging="360"/>
      </w:pPr>
      <w:rPr>
        <w:rFonts w:ascii="Symbol" w:hAnsi="Symbol" w:hint="default"/>
        <w:color w:val="auto"/>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9" w15:restartNumberingAfterBreak="0">
    <w:nsid w:val="16A9044B"/>
    <w:multiLevelType w:val="hybridMultilevel"/>
    <w:tmpl w:val="FA1214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7072180"/>
    <w:multiLevelType w:val="hybridMultilevel"/>
    <w:tmpl w:val="BCFCB5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15:restartNumberingAfterBreak="0">
    <w:nsid w:val="172D514F"/>
    <w:multiLevelType w:val="hybridMultilevel"/>
    <w:tmpl w:val="DBE44A9C"/>
    <w:lvl w:ilvl="0" w:tplc="D47C4F72">
      <w:start w:val="1"/>
      <w:numFmt w:val="bullet"/>
      <w:pStyle w:val="a"/>
      <w:lvlText w:val=""/>
      <w:lvlJc w:val="left"/>
      <w:pPr>
        <w:ind w:left="720" w:hanging="360"/>
      </w:pPr>
      <w:rPr>
        <w:rFonts w:ascii="Symbol" w:hAnsi="Symbol" w:hint="default"/>
        <w:color w:val="94363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7345454"/>
    <w:multiLevelType w:val="hybridMultilevel"/>
    <w:tmpl w:val="A6023474"/>
    <w:lvl w:ilvl="0" w:tplc="04190001">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3" w15:restartNumberingAfterBreak="0">
    <w:nsid w:val="193663D2"/>
    <w:multiLevelType w:val="hybridMultilevel"/>
    <w:tmpl w:val="B53C3376"/>
    <w:lvl w:ilvl="0" w:tplc="6068EF5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9383CA1"/>
    <w:multiLevelType w:val="multilevel"/>
    <w:tmpl w:val="C5247910"/>
    <w:lvl w:ilvl="0">
      <w:start w:val="4"/>
      <w:numFmt w:val="decimal"/>
      <w:lvlText w:val="%1."/>
      <w:lvlJc w:val="left"/>
      <w:pPr>
        <w:ind w:left="360" w:hanging="360"/>
      </w:pPr>
      <w:rPr>
        <w:rFonts w:hint="default"/>
      </w:rPr>
    </w:lvl>
    <w:lvl w:ilvl="1">
      <w:start w:val="4"/>
      <w:numFmt w:val="decimal"/>
      <w:lvlText w:val="%1.%2."/>
      <w:lvlJc w:val="left"/>
      <w:pPr>
        <w:ind w:left="6598" w:hanging="360"/>
      </w:pPr>
      <w:rPr>
        <w:rFonts w:hint="default"/>
        <w:b/>
      </w:rPr>
    </w:lvl>
    <w:lvl w:ilvl="2">
      <w:start w:val="1"/>
      <w:numFmt w:val="decimal"/>
      <w:lvlText w:val="%1.%2.%3."/>
      <w:lvlJc w:val="left"/>
      <w:pPr>
        <w:ind w:left="3540" w:hanging="720"/>
      </w:pPr>
      <w:rPr>
        <w:rFonts w:hint="default"/>
        <w:b w:val="0"/>
      </w:rPr>
    </w:lvl>
    <w:lvl w:ilvl="3">
      <w:start w:val="1"/>
      <w:numFmt w:val="decimal"/>
      <w:lvlText w:val="%1.%2.%3.%4."/>
      <w:lvlJc w:val="left"/>
      <w:pPr>
        <w:ind w:left="228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25" w15:restartNumberingAfterBreak="0">
    <w:nsid w:val="195510F0"/>
    <w:multiLevelType w:val="hybridMultilevel"/>
    <w:tmpl w:val="17CE842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1A4219BC"/>
    <w:multiLevelType w:val="hybridMultilevel"/>
    <w:tmpl w:val="4F5CD262"/>
    <w:lvl w:ilvl="0" w:tplc="AA7AAC3E">
      <w:start w:val="1"/>
      <w:numFmt w:val="decimal"/>
      <w:lvlText w:val="%1)"/>
      <w:lvlJc w:val="left"/>
      <w:pPr>
        <w:ind w:left="720" w:hanging="360"/>
      </w:pPr>
      <w:rPr>
        <w:rFonts w:hint="default"/>
        <w:b/>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1CCA1B0F"/>
    <w:multiLevelType w:val="hybridMultilevel"/>
    <w:tmpl w:val="497C9D64"/>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15:restartNumberingAfterBreak="0">
    <w:nsid w:val="1E2C2976"/>
    <w:multiLevelType w:val="hybridMultilevel"/>
    <w:tmpl w:val="A0429E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220012F0"/>
    <w:multiLevelType w:val="hybridMultilevel"/>
    <w:tmpl w:val="D332C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3C167BA"/>
    <w:multiLevelType w:val="hybridMultilevel"/>
    <w:tmpl w:val="2C24B17A"/>
    <w:lvl w:ilvl="0" w:tplc="04190001">
      <w:start w:val="1"/>
      <w:numFmt w:val="bullet"/>
      <w:lvlText w:val=""/>
      <w:lvlJc w:val="left"/>
      <w:pPr>
        <w:ind w:left="795" w:hanging="360"/>
      </w:pPr>
      <w:rPr>
        <w:rFonts w:ascii="Symbol" w:hAnsi="Symbol"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hint="default"/>
      </w:rPr>
    </w:lvl>
  </w:abstractNum>
  <w:abstractNum w:abstractNumId="31" w15:restartNumberingAfterBreak="0">
    <w:nsid w:val="23E2477A"/>
    <w:multiLevelType w:val="hybridMultilevel"/>
    <w:tmpl w:val="89561932"/>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28016D9D"/>
    <w:multiLevelType w:val="hybridMultilevel"/>
    <w:tmpl w:val="B7E68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28C13301"/>
    <w:multiLevelType w:val="hybridMultilevel"/>
    <w:tmpl w:val="DE3C5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29665930"/>
    <w:multiLevelType w:val="hybridMultilevel"/>
    <w:tmpl w:val="81F63EF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5" w15:restartNumberingAfterBreak="0">
    <w:nsid w:val="297C2772"/>
    <w:multiLevelType w:val="hybridMultilevel"/>
    <w:tmpl w:val="D952B208"/>
    <w:lvl w:ilvl="0" w:tplc="6B10B7B6">
      <w:start w:val="1"/>
      <w:numFmt w:val="bullet"/>
      <w:lvlText w:val=""/>
      <w:lvlJc w:val="left"/>
      <w:pPr>
        <w:ind w:left="1321" w:hanging="360"/>
      </w:pPr>
      <w:rPr>
        <w:rFonts w:ascii="Symbol" w:hAnsi="Symbol" w:hint="default"/>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2A9F5EE8"/>
    <w:multiLevelType w:val="hybridMultilevel"/>
    <w:tmpl w:val="9038497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7" w15:restartNumberingAfterBreak="0">
    <w:nsid w:val="2B8968B7"/>
    <w:multiLevelType w:val="hybridMultilevel"/>
    <w:tmpl w:val="D88AD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2C795376"/>
    <w:multiLevelType w:val="multilevel"/>
    <w:tmpl w:val="F1224A26"/>
    <w:lvl w:ilvl="0">
      <w:start w:val="1"/>
      <w:numFmt w:val="decimal"/>
      <w:lvlText w:val="%1."/>
      <w:lvlJc w:val="left"/>
      <w:pPr>
        <w:ind w:left="510" w:hanging="510"/>
      </w:pPr>
    </w:lvl>
    <w:lvl w:ilvl="1">
      <w:start w:val="1"/>
      <w:numFmt w:val="decimal"/>
      <w:isLgl/>
      <w:lvlText w:val="%1.%2."/>
      <w:lvlJc w:val="left"/>
      <w:pPr>
        <w:ind w:left="420" w:hanging="420"/>
      </w:pPr>
      <w:rPr>
        <w:b/>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9" w15:restartNumberingAfterBreak="0">
    <w:nsid w:val="2DB64DE1"/>
    <w:multiLevelType w:val="multilevel"/>
    <w:tmpl w:val="FF9238CE"/>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2F853758"/>
    <w:multiLevelType w:val="hybridMultilevel"/>
    <w:tmpl w:val="F5D2172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1" w15:restartNumberingAfterBreak="0">
    <w:nsid w:val="2FAD2F1A"/>
    <w:multiLevelType w:val="multilevel"/>
    <w:tmpl w:val="43DA7F3E"/>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b/>
        <w:bCs/>
      </w:rPr>
    </w:lvl>
    <w:lvl w:ilvl="2">
      <w:start w:val="1"/>
      <w:numFmt w:val="decimal"/>
      <w:isLgl/>
      <w:lvlText w:val="%1.%2.%3."/>
      <w:lvlJc w:val="left"/>
      <w:pPr>
        <w:ind w:left="1778" w:hanging="720"/>
      </w:pPr>
      <w:rPr>
        <w:rFonts w:hint="default"/>
        <w:b w:val="0"/>
      </w:rPr>
    </w:lvl>
    <w:lvl w:ilvl="3">
      <w:start w:val="1"/>
      <w:numFmt w:val="decimal"/>
      <w:isLgl/>
      <w:lvlText w:val="%1.%2.%3.%4."/>
      <w:lvlJc w:val="left"/>
      <w:pPr>
        <w:ind w:left="2127" w:hanging="720"/>
      </w:pPr>
      <w:rPr>
        <w:rFonts w:hint="default"/>
        <w:b w:val="0"/>
      </w:rPr>
    </w:lvl>
    <w:lvl w:ilvl="4">
      <w:start w:val="1"/>
      <w:numFmt w:val="decimal"/>
      <w:isLgl/>
      <w:lvlText w:val="%1.%2.%3.%4.%5."/>
      <w:lvlJc w:val="left"/>
      <w:pPr>
        <w:ind w:left="2836" w:hanging="1080"/>
      </w:pPr>
      <w:rPr>
        <w:rFonts w:hint="default"/>
        <w:b w:val="0"/>
      </w:rPr>
    </w:lvl>
    <w:lvl w:ilvl="5">
      <w:start w:val="1"/>
      <w:numFmt w:val="decimal"/>
      <w:isLgl/>
      <w:lvlText w:val="%1.%2.%3.%4.%5.%6."/>
      <w:lvlJc w:val="left"/>
      <w:pPr>
        <w:ind w:left="3185" w:hanging="1080"/>
      </w:pPr>
      <w:rPr>
        <w:rFonts w:hint="default"/>
        <w:b w:val="0"/>
      </w:rPr>
    </w:lvl>
    <w:lvl w:ilvl="6">
      <w:start w:val="1"/>
      <w:numFmt w:val="decimal"/>
      <w:isLgl/>
      <w:lvlText w:val="%1.%2.%3.%4.%5.%6.%7."/>
      <w:lvlJc w:val="left"/>
      <w:pPr>
        <w:ind w:left="3894" w:hanging="1440"/>
      </w:pPr>
      <w:rPr>
        <w:rFonts w:hint="default"/>
        <w:b w:val="0"/>
      </w:rPr>
    </w:lvl>
    <w:lvl w:ilvl="7">
      <w:start w:val="1"/>
      <w:numFmt w:val="decimal"/>
      <w:isLgl/>
      <w:lvlText w:val="%1.%2.%3.%4.%5.%6.%7.%8."/>
      <w:lvlJc w:val="left"/>
      <w:pPr>
        <w:ind w:left="4243" w:hanging="1440"/>
      </w:pPr>
      <w:rPr>
        <w:rFonts w:hint="default"/>
        <w:b w:val="0"/>
      </w:rPr>
    </w:lvl>
    <w:lvl w:ilvl="8">
      <w:start w:val="1"/>
      <w:numFmt w:val="decimal"/>
      <w:isLgl/>
      <w:lvlText w:val="%1.%2.%3.%4.%5.%6.%7.%8.%9."/>
      <w:lvlJc w:val="left"/>
      <w:pPr>
        <w:ind w:left="4952" w:hanging="1800"/>
      </w:pPr>
      <w:rPr>
        <w:rFonts w:hint="default"/>
        <w:b w:val="0"/>
      </w:rPr>
    </w:lvl>
  </w:abstractNum>
  <w:abstractNum w:abstractNumId="42" w15:restartNumberingAfterBreak="0">
    <w:nsid w:val="30FC00F6"/>
    <w:multiLevelType w:val="hybridMultilevel"/>
    <w:tmpl w:val="1CDC69B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3" w15:restartNumberingAfterBreak="0">
    <w:nsid w:val="335621DF"/>
    <w:multiLevelType w:val="hybridMultilevel"/>
    <w:tmpl w:val="4D96FF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33AA43FB"/>
    <w:multiLevelType w:val="hybridMultilevel"/>
    <w:tmpl w:val="08DA182E"/>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45" w15:restartNumberingAfterBreak="0">
    <w:nsid w:val="34027861"/>
    <w:multiLevelType w:val="hybridMultilevel"/>
    <w:tmpl w:val="F30CA500"/>
    <w:lvl w:ilvl="0" w:tplc="04190011">
      <w:start w:val="1"/>
      <w:numFmt w:val="decimal"/>
      <w:lvlText w:val="%1)"/>
      <w:lvlJc w:val="left"/>
      <w:pPr>
        <w:ind w:left="1260" w:hanging="360"/>
      </w:pPr>
    </w:lvl>
    <w:lvl w:ilvl="1" w:tplc="04190001">
      <w:start w:val="1"/>
      <w:numFmt w:val="bullet"/>
      <w:lvlText w:val=""/>
      <w:lvlJc w:val="left"/>
      <w:pPr>
        <w:ind w:left="1980" w:hanging="360"/>
      </w:pPr>
      <w:rPr>
        <w:rFonts w:ascii="Symbol" w:hAnsi="Symbol"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6" w15:restartNumberingAfterBreak="0">
    <w:nsid w:val="341A071A"/>
    <w:multiLevelType w:val="hybridMultilevel"/>
    <w:tmpl w:val="2B42F55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47" w15:restartNumberingAfterBreak="0">
    <w:nsid w:val="343D3DA4"/>
    <w:multiLevelType w:val="hybridMultilevel"/>
    <w:tmpl w:val="B7304246"/>
    <w:lvl w:ilvl="0" w:tplc="BDDAC3CA">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15:restartNumberingAfterBreak="0">
    <w:nsid w:val="346D7F93"/>
    <w:multiLevelType w:val="multilevel"/>
    <w:tmpl w:val="F66C56F4"/>
    <w:lvl w:ilvl="0">
      <w:start w:val="1"/>
      <w:numFmt w:val="upperRoman"/>
      <w:pStyle w:val="a0"/>
      <w:lvlText w:val="%1."/>
      <w:lvlJc w:val="left"/>
      <w:pPr>
        <w:ind w:left="360" w:hanging="360"/>
      </w:pPr>
      <w:rPr>
        <w:rFonts w:hint="default"/>
      </w:rPr>
    </w:lvl>
    <w:lvl w:ilvl="1">
      <w:start w:val="1"/>
      <w:numFmt w:val="decimal"/>
      <w:pStyle w:val="1"/>
      <w:lvlText w:val="%2."/>
      <w:lvlJc w:val="left"/>
      <w:pPr>
        <w:ind w:left="964" w:hanging="680"/>
      </w:pPr>
      <w:rPr>
        <w:rFonts w:hint="default"/>
      </w:rPr>
    </w:lvl>
    <w:lvl w:ilvl="2">
      <w:start w:val="1"/>
      <w:numFmt w:val="decimal"/>
      <w:pStyle w:val="2"/>
      <w:lvlText w:val="%2.%3."/>
      <w:lvlJc w:val="left"/>
      <w:pPr>
        <w:ind w:left="1224" w:hanging="504"/>
      </w:pPr>
      <w:rPr>
        <w:rFonts w:hint="default"/>
      </w:rPr>
    </w:lvl>
    <w:lvl w:ilvl="3">
      <w:start w:val="1"/>
      <w:numFmt w:val="decimal"/>
      <w:pStyle w:val="2"/>
      <w:lvlText w:val="%2.%3.%4."/>
      <w:lvlJc w:val="left"/>
      <w:pPr>
        <w:ind w:left="3315" w:hanging="621"/>
      </w:pPr>
      <w:rPr>
        <w:rFonts w:hint="default"/>
      </w:rPr>
    </w:lvl>
    <w:lvl w:ilvl="4">
      <w:start w:val="1"/>
      <w:numFmt w:val="lowerLetter"/>
      <w:pStyle w:val="3"/>
      <w:lvlText w:val="(%5)"/>
      <w:lvlJc w:val="left"/>
      <w:pPr>
        <w:ind w:left="1985"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347E04AB"/>
    <w:multiLevelType w:val="hybridMultilevel"/>
    <w:tmpl w:val="663EB14E"/>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50" w15:restartNumberingAfterBreak="0">
    <w:nsid w:val="35AB1C31"/>
    <w:multiLevelType w:val="hybridMultilevel"/>
    <w:tmpl w:val="8AA673B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1" w15:restartNumberingAfterBreak="0">
    <w:nsid w:val="39147024"/>
    <w:multiLevelType w:val="multilevel"/>
    <w:tmpl w:val="C068F824"/>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bullet"/>
      <w:lvlText w:val=""/>
      <w:lvlJc w:val="left"/>
      <w:pPr>
        <w:ind w:left="2592" w:hanging="792"/>
      </w:pPr>
      <w:rPr>
        <w:rFonts w:ascii="Symbol" w:hAnsi="Symbol" w:hint="default"/>
      </w:r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2" w15:restartNumberingAfterBreak="0">
    <w:nsid w:val="3A213A93"/>
    <w:multiLevelType w:val="hybridMultilevel"/>
    <w:tmpl w:val="9716BF8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53" w15:restartNumberingAfterBreak="0">
    <w:nsid w:val="3C7E70DD"/>
    <w:multiLevelType w:val="hybridMultilevel"/>
    <w:tmpl w:val="46B607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3C9A2D0A"/>
    <w:multiLevelType w:val="hybridMultilevel"/>
    <w:tmpl w:val="33F0EE48"/>
    <w:lvl w:ilvl="0" w:tplc="04190001">
      <w:start w:val="1"/>
      <w:numFmt w:val="bullet"/>
      <w:lvlText w:val=""/>
      <w:lvlJc w:val="left"/>
      <w:pPr>
        <w:ind w:left="1859" w:hanging="360"/>
      </w:pPr>
      <w:rPr>
        <w:rFonts w:ascii="Symbol" w:hAnsi="Symbol" w:hint="default"/>
      </w:rPr>
    </w:lvl>
    <w:lvl w:ilvl="1" w:tplc="04190003">
      <w:start w:val="1"/>
      <w:numFmt w:val="bullet"/>
      <w:lvlText w:val="o"/>
      <w:lvlJc w:val="left"/>
      <w:pPr>
        <w:ind w:left="2579" w:hanging="360"/>
      </w:pPr>
      <w:rPr>
        <w:rFonts w:ascii="Courier New" w:hAnsi="Courier New" w:cs="Courier New" w:hint="default"/>
      </w:rPr>
    </w:lvl>
    <w:lvl w:ilvl="2" w:tplc="04190005" w:tentative="1">
      <w:start w:val="1"/>
      <w:numFmt w:val="bullet"/>
      <w:lvlText w:val=""/>
      <w:lvlJc w:val="left"/>
      <w:pPr>
        <w:ind w:left="3299" w:hanging="360"/>
      </w:pPr>
      <w:rPr>
        <w:rFonts w:ascii="Wingdings" w:hAnsi="Wingdings" w:hint="default"/>
      </w:rPr>
    </w:lvl>
    <w:lvl w:ilvl="3" w:tplc="04190001" w:tentative="1">
      <w:start w:val="1"/>
      <w:numFmt w:val="bullet"/>
      <w:lvlText w:val=""/>
      <w:lvlJc w:val="left"/>
      <w:pPr>
        <w:ind w:left="4019" w:hanging="360"/>
      </w:pPr>
      <w:rPr>
        <w:rFonts w:ascii="Symbol" w:hAnsi="Symbol" w:hint="default"/>
      </w:rPr>
    </w:lvl>
    <w:lvl w:ilvl="4" w:tplc="04190003" w:tentative="1">
      <w:start w:val="1"/>
      <w:numFmt w:val="bullet"/>
      <w:lvlText w:val="o"/>
      <w:lvlJc w:val="left"/>
      <w:pPr>
        <w:ind w:left="4739" w:hanging="360"/>
      </w:pPr>
      <w:rPr>
        <w:rFonts w:ascii="Courier New" w:hAnsi="Courier New" w:cs="Courier New" w:hint="default"/>
      </w:rPr>
    </w:lvl>
    <w:lvl w:ilvl="5" w:tplc="04190005" w:tentative="1">
      <w:start w:val="1"/>
      <w:numFmt w:val="bullet"/>
      <w:lvlText w:val=""/>
      <w:lvlJc w:val="left"/>
      <w:pPr>
        <w:ind w:left="5459" w:hanging="360"/>
      </w:pPr>
      <w:rPr>
        <w:rFonts w:ascii="Wingdings" w:hAnsi="Wingdings" w:hint="default"/>
      </w:rPr>
    </w:lvl>
    <w:lvl w:ilvl="6" w:tplc="04190001" w:tentative="1">
      <w:start w:val="1"/>
      <w:numFmt w:val="bullet"/>
      <w:lvlText w:val=""/>
      <w:lvlJc w:val="left"/>
      <w:pPr>
        <w:ind w:left="6179" w:hanging="360"/>
      </w:pPr>
      <w:rPr>
        <w:rFonts w:ascii="Symbol" w:hAnsi="Symbol" w:hint="default"/>
      </w:rPr>
    </w:lvl>
    <w:lvl w:ilvl="7" w:tplc="04190003" w:tentative="1">
      <w:start w:val="1"/>
      <w:numFmt w:val="bullet"/>
      <w:lvlText w:val="o"/>
      <w:lvlJc w:val="left"/>
      <w:pPr>
        <w:ind w:left="6899" w:hanging="360"/>
      </w:pPr>
      <w:rPr>
        <w:rFonts w:ascii="Courier New" w:hAnsi="Courier New" w:cs="Courier New" w:hint="default"/>
      </w:rPr>
    </w:lvl>
    <w:lvl w:ilvl="8" w:tplc="04190005" w:tentative="1">
      <w:start w:val="1"/>
      <w:numFmt w:val="bullet"/>
      <w:lvlText w:val=""/>
      <w:lvlJc w:val="left"/>
      <w:pPr>
        <w:ind w:left="7619" w:hanging="360"/>
      </w:pPr>
      <w:rPr>
        <w:rFonts w:ascii="Wingdings" w:hAnsi="Wingdings" w:hint="default"/>
      </w:rPr>
    </w:lvl>
  </w:abstractNum>
  <w:abstractNum w:abstractNumId="55" w15:restartNumberingAfterBreak="0">
    <w:nsid w:val="3CD214AB"/>
    <w:multiLevelType w:val="hybridMultilevel"/>
    <w:tmpl w:val="1250C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3DDF4D7A"/>
    <w:multiLevelType w:val="hybridMultilevel"/>
    <w:tmpl w:val="F6F239A6"/>
    <w:lvl w:ilvl="0" w:tplc="04190001">
      <w:start w:val="1"/>
      <w:numFmt w:val="bullet"/>
      <w:lvlText w:val=""/>
      <w:lvlJc w:val="left"/>
      <w:pPr>
        <w:ind w:left="-414" w:hanging="360"/>
      </w:pPr>
      <w:rPr>
        <w:rFonts w:ascii="Symbol" w:hAnsi="Symbol"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57" w15:restartNumberingAfterBreak="0">
    <w:nsid w:val="3E700395"/>
    <w:multiLevelType w:val="hybridMultilevel"/>
    <w:tmpl w:val="3ED4DA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40EB3248"/>
    <w:multiLevelType w:val="hybridMultilevel"/>
    <w:tmpl w:val="7706C2C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9" w15:restartNumberingAfterBreak="0">
    <w:nsid w:val="4186696B"/>
    <w:multiLevelType w:val="hybridMultilevel"/>
    <w:tmpl w:val="1BFC18D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0" w15:restartNumberingAfterBreak="0">
    <w:nsid w:val="42CF40A2"/>
    <w:multiLevelType w:val="hybridMultilevel"/>
    <w:tmpl w:val="94FE64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43473A97"/>
    <w:multiLevelType w:val="hybridMultilevel"/>
    <w:tmpl w:val="FD6CE628"/>
    <w:lvl w:ilvl="0" w:tplc="664629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44203A5A"/>
    <w:multiLevelType w:val="hybridMultilevel"/>
    <w:tmpl w:val="E19818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3" w15:restartNumberingAfterBreak="0">
    <w:nsid w:val="45E93406"/>
    <w:multiLevelType w:val="hybridMultilevel"/>
    <w:tmpl w:val="0EAAF07C"/>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64" w15:restartNumberingAfterBreak="0">
    <w:nsid w:val="47B9496C"/>
    <w:multiLevelType w:val="hybridMultilevel"/>
    <w:tmpl w:val="D88885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5" w15:restartNumberingAfterBreak="0">
    <w:nsid w:val="4836042A"/>
    <w:multiLevelType w:val="hybridMultilevel"/>
    <w:tmpl w:val="D16A673E"/>
    <w:lvl w:ilvl="0" w:tplc="23A24DFE">
      <w:start w:val="1"/>
      <w:numFmt w:val="bullet"/>
      <w:pStyle w:val="-"/>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66" w15:restartNumberingAfterBreak="0">
    <w:nsid w:val="488C78B8"/>
    <w:multiLevelType w:val="hybridMultilevel"/>
    <w:tmpl w:val="07DE45F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67" w15:restartNumberingAfterBreak="0">
    <w:nsid w:val="4A427854"/>
    <w:multiLevelType w:val="hybridMultilevel"/>
    <w:tmpl w:val="0F28CFF4"/>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8" w15:restartNumberingAfterBreak="0">
    <w:nsid w:val="4AB65C1C"/>
    <w:multiLevelType w:val="multilevel"/>
    <w:tmpl w:val="B308D41A"/>
    <w:lvl w:ilvl="0">
      <w:start w:val="1"/>
      <w:numFmt w:val="lowerLetter"/>
      <w:lvlText w:val="%1."/>
      <w:lvlJc w:val="left"/>
      <w:pPr>
        <w:ind w:left="690" w:hanging="690"/>
      </w:pPr>
    </w:lvl>
    <w:lvl w:ilvl="1">
      <w:start w:val="1"/>
      <w:numFmt w:val="decimal"/>
      <w:lvlText w:val="%1.%2."/>
      <w:lvlJc w:val="left"/>
      <w:pPr>
        <w:ind w:left="1440" w:hanging="720"/>
      </w:pPr>
    </w:lvl>
    <w:lvl w:ilvl="2">
      <w:start w:val="1"/>
      <w:numFmt w:val="decimal"/>
      <w:lvlText w:val="%1.%2.%3."/>
      <w:lvlJc w:val="left"/>
      <w:pPr>
        <w:ind w:left="2520" w:hanging="108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400" w:hanging="1800"/>
      </w:pPr>
    </w:lvl>
    <w:lvl w:ilvl="6">
      <w:start w:val="1"/>
      <w:numFmt w:val="decimal"/>
      <w:lvlText w:val="%1.%2.%3.%4.%5.%6.%7."/>
      <w:lvlJc w:val="left"/>
      <w:pPr>
        <w:ind w:left="6480" w:hanging="2160"/>
      </w:pPr>
    </w:lvl>
    <w:lvl w:ilvl="7">
      <w:start w:val="1"/>
      <w:numFmt w:val="decimal"/>
      <w:lvlText w:val="%1.%2.%3.%4.%5.%6.%7.%8."/>
      <w:lvlJc w:val="left"/>
      <w:pPr>
        <w:ind w:left="7200" w:hanging="2160"/>
      </w:pPr>
    </w:lvl>
    <w:lvl w:ilvl="8">
      <w:start w:val="1"/>
      <w:numFmt w:val="decimal"/>
      <w:lvlText w:val="%1.%2.%3.%4.%5.%6.%7.%8.%9."/>
      <w:lvlJc w:val="left"/>
      <w:pPr>
        <w:ind w:left="8280" w:hanging="2520"/>
      </w:pPr>
    </w:lvl>
  </w:abstractNum>
  <w:abstractNum w:abstractNumId="69" w15:restartNumberingAfterBreak="0">
    <w:nsid w:val="4B635903"/>
    <w:multiLevelType w:val="hybridMultilevel"/>
    <w:tmpl w:val="3C668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4B6F25CC"/>
    <w:multiLevelType w:val="hybridMultilevel"/>
    <w:tmpl w:val="0F20B2FA"/>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71" w15:restartNumberingAfterBreak="0">
    <w:nsid w:val="4CF230EA"/>
    <w:multiLevelType w:val="hybridMultilevel"/>
    <w:tmpl w:val="7E46AE54"/>
    <w:lvl w:ilvl="0" w:tplc="04190001">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4DFD3890"/>
    <w:multiLevelType w:val="hybridMultilevel"/>
    <w:tmpl w:val="3C84096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3" w15:restartNumberingAfterBreak="0">
    <w:nsid w:val="4FEC52E9"/>
    <w:multiLevelType w:val="hybridMultilevel"/>
    <w:tmpl w:val="FE9C5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50325943"/>
    <w:multiLevelType w:val="multilevel"/>
    <w:tmpl w:val="8D822592"/>
    <w:lvl w:ilvl="0">
      <w:start w:val="1"/>
      <w:numFmt w:val="decimal"/>
      <w:lvlText w:val="%1."/>
      <w:lvlJc w:val="left"/>
      <w:pPr>
        <w:ind w:left="2880" w:hanging="360"/>
      </w:pPr>
    </w:lvl>
    <w:lvl w:ilvl="1">
      <w:start w:val="1"/>
      <w:numFmt w:val="decimal"/>
      <w:isLgl/>
      <w:lvlText w:val="%1.%2."/>
      <w:lvlJc w:val="left"/>
      <w:pPr>
        <w:ind w:left="2880" w:hanging="360"/>
      </w:pPr>
    </w:lvl>
    <w:lvl w:ilvl="2">
      <w:start w:val="1"/>
      <w:numFmt w:val="decimal"/>
      <w:isLgl/>
      <w:lvlText w:val="%1.%2.%3."/>
      <w:lvlJc w:val="left"/>
      <w:pPr>
        <w:ind w:left="3240" w:hanging="720"/>
      </w:pPr>
    </w:lvl>
    <w:lvl w:ilvl="3">
      <w:start w:val="1"/>
      <w:numFmt w:val="decimal"/>
      <w:isLgl/>
      <w:lvlText w:val="%1.%2.%3.%4."/>
      <w:lvlJc w:val="left"/>
      <w:pPr>
        <w:ind w:left="3240" w:hanging="720"/>
      </w:pPr>
    </w:lvl>
    <w:lvl w:ilvl="4">
      <w:start w:val="1"/>
      <w:numFmt w:val="decimal"/>
      <w:isLgl/>
      <w:lvlText w:val="%1.%2.%3.%4.%5."/>
      <w:lvlJc w:val="left"/>
      <w:pPr>
        <w:ind w:left="3600" w:hanging="1080"/>
      </w:pPr>
    </w:lvl>
    <w:lvl w:ilvl="5">
      <w:start w:val="1"/>
      <w:numFmt w:val="decimal"/>
      <w:isLgl/>
      <w:lvlText w:val="%1.%2.%3.%4.%5.%6."/>
      <w:lvlJc w:val="left"/>
      <w:pPr>
        <w:ind w:left="3600" w:hanging="1080"/>
      </w:pPr>
    </w:lvl>
    <w:lvl w:ilvl="6">
      <w:start w:val="1"/>
      <w:numFmt w:val="decimal"/>
      <w:isLgl/>
      <w:lvlText w:val="%1.%2.%3.%4.%5.%6.%7."/>
      <w:lvlJc w:val="left"/>
      <w:pPr>
        <w:ind w:left="3960" w:hanging="1440"/>
      </w:pPr>
    </w:lvl>
    <w:lvl w:ilvl="7">
      <w:start w:val="1"/>
      <w:numFmt w:val="decimal"/>
      <w:isLgl/>
      <w:lvlText w:val="%1.%2.%3.%4.%5.%6.%7.%8."/>
      <w:lvlJc w:val="left"/>
      <w:pPr>
        <w:ind w:left="3960" w:hanging="1440"/>
      </w:pPr>
    </w:lvl>
    <w:lvl w:ilvl="8">
      <w:start w:val="1"/>
      <w:numFmt w:val="decimal"/>
      <w:isLgl/>
      <w:lvlText w:val="%1.%2.%3.%4.%5.%6.%7.%8.%9."/>
      <w:lvlJc w:val="left"/>
      <w:pPr>
        <w:ind w:left="4320" w:hanging="1800"/>
      </w:pPr>
    </w:lvl>
  </w:abstractNum>
  <w:abstractNum w:abstractNumId="75" w15:restartNumberingAfterBreak="0">
    <w:nsid w:val="511D1B6D"/>
    <w:multiLevelType w:val="hybridMultilevel"/>
    <w:tmpl w:val="B2C6E532"/>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76" w15:restartNumberingAfterBreak="0">
    <w:nsid w:val="5760559D"/>
    <w:multiLevelType w:val="hybridMultilevel"/>
    <w:tmpl w:val="8002540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77" w15:restartNumberingAfterBreak="0">
    <w:nsid w:val="57F34E21"/>
    <w:multiLevelType w:val="multilevel"/>
    <w:tmpl w:val="3B8E46D4"/>
    <w:lvl w:ilvl="0">
      <w:start w:val="5"/>
      <w:numFmt w:val="decimal"/>
      <w:lvlText w:val="%1."/>
      <w:lvlJc w:val="left"/>
      <w:pPr>
        <w:ind w:left="390" w:hanging="39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8" w15:restartNumberingAfterBreak="0">
    <w:nsid w:val="5BB61AEB"/>
    <w:multiLevelType w:val="hybridMultilevel"/>
    <w:tmpl w:val="3146BFC6"/>
    <w:lvl w:ilvl="0" w:tplc="04190001">
      <w:start w:val="1"/>
      <w:numFmt w:val="bullet"/>
      <w:lvlText w:val=""/>
      <w:lvlJc w:val="left"/>
      <w:pPr>
        <w:ind w:left="746" w:hanging="360"/>
      </w:pPr>
      <w:rPr>
        <w:rFonts w:ascii="Symbol" w:hAnsi="Symbol" w:hint="default"/>
      </w:rPr>
    </w:lvl>
    <w:lvl w:ilvl="1" w:tplc="04190003">
      <w:start w:val="1"/>
      <w:numFmt w:val="bullet"/>
      <w:lvlText w:val="o"/>
      <w:lvlJc w:val="left"/>
      <w:pPr>
        <w:ind w:left="1466" w:hanging="360"/>
      </w:pPr>
      <w:rPr>
        <w:rFonts w:ascii="Courier New" w:hAnsi="Courier New" w:cs="Courier New" w:hint="default"/>
      </w:rPr>
    </w:lvl>
    <w:lvl w:ilvl="2" w:tplc="04190005">
      <w:start w:val="1"/>
      <w:numFmt w:val="bullet"/>
      <w:lvlText w:val=""/>
      <w:lvlJc w:val="left"/>
      <w:pPr>
        <w:ind w:left="2186" w:hanging="360"/>
      </w:pPr>
      <w:rPr>
        <w:rFonts w:ascii="Wingdings" w:hAnsi="Wingdings" w:hint="default"/>
      </w:rPr>
    </w:lvl>
    <w:lvl w:ilvl="3" w:tplc="04190001">
      <w:start w:val="1"/>
      <w:numFmt w:val="bullet"/>
      <w:lvlText w:val=""/>
      <w:lvlJc w:val="left"/>
      <w:pPr>
        <w:ind w:left="2906" w:hanging="360"/>
      </w:pPr>
      <w:rPr>
        <w:rFonts w:ascii="Symbol" w:hAnsi="Symbol" w:hint="default"/>
      </w:rPr>
    </w:lvl>
    <w:lvl w:ilvl="4" w:tplc="04190003">
      <w:start w:val="1"/>
      <w:numFmt w:val="bullet"/>
      <w:lvlText w:val="o"/>
      <w:lvlJc w:val="left"/>
      <w:pPr>
        <w:ind w:left="3626" w:hanging="360"/>
      </w:pPr>
      <w:rPr>
        <w:rFonts w:ascii="Courier New" w:hAnsi="Courier New" w:cs="Courier New" w:hint="default"/>
      </w:rPr>
    </w:lvl>
    <w:lvl w:ilvl="5" w:tplc="04190005">
      <w:start w:val="1"/>
      <w:numFmt w:val="bullet"/>
      <w:lvlText w:val=""/>
      <w:lvlJc w:val="left"/>
      <w:pPr>
        <w:ind w:left="4346" w:hanging="360"/>
      </w:pPr>
      <w:rPr>
        <w:rFonts w:ascii="Wingdings" w:hAnsi="Wingdings" w:hint="default"/>
      </w:rPr>
    </w:lvl>
    <w:lvl w:ilvl="6" w:tplc="04190001">
      <w:start w:val="1"/>
      <w:numFmt w:val="bullet"/>
      <w:lvlText w:val=""/>
      <w:lvlJc w:val="left"/>
      <w:pPr>
        <w:ind w:left="5066" w:hanging="360"/>
      </w:pPr>
      <w:rPr>
        <w:rFonts w:ascii="Symbol" w:hAnsi="Symbol" w:hint="default"/>
      </w:rPr>
    </w:lvl>
    <w:lvl w:ilvl="7" w:tplc="04190003">
      <w:start w:val="1"/>
      <w:numFmt w:val="bullet"/>
      <w:lvlText w:val="o"/>
      <w:lvlJc w:val="left"/>
      <w:pPr>
        <w:ind w:left="5786" w:hanging="360"/>
      </w:pPr>
      <w:rPr>
        <w:rFonts w:ascii="Courier New" w:hAnsi="Courier New" w:cs="Courier New" w:hint="default"/>
      </w:rPr>
    </w:lvl>
    <w:lvl w:ilvl="8" w:tplc="04190005">
      <w:start w:val="1"/>
      <w:numFmt w:val="bullet"/>
      <w:lvlText w:val=""/>
      <w:lvlJc w:val="left"/>
      <w:pPr>
        <w:ind w:left="6506" w:hanging="360"/>
      </w:pPr>
      <w:rPr>
        <w:rFonts w:ascii="Wingdings" w:hAnsi="Wingdings" w:hint="default"/>
      </w:rPr>
    </w:lvl>
  </w:abstractNum>
  <w:abstractNum w:abstractNumId="79" w15:restartNumberingAfterBreak="0">
    <w:nsid w:val="5D096424"/>
    <w:multiLevelType w:val="hybridMultilevel"/>
    <w:tmpl w:val="2F6245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5DDA2FF2"/>
    <w:multiLevelType w:val="hybridMultilevel"/>
    <w:tmpl w:val="1A129A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1" w15:restartNumberingAfterBreak="0">
    <w:nsid w:val="5DFF4853"/>
    <w:multiLevelType w:val="hybridMultilevel"/>
    <w:tmpl w:val="58D44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5E2F7940"/>
    <w:multiLevelType w:val="multilevel"/>
    <w:tmpl w:val="BBC04744"/>
    <w:lvl w:ilvl="0">
      <w:start w:val="1"/>
      <w:numFmt w:val="decimal"/>
      <w:lvlText w:val="%1."/>
      <w:lvlJc w:val="left"/>
      <w:pPr>
        <w:ind w:left="720" w:hanging="360"/>
      </w:pPr>
      <w:rPr>
        <w:rFonts w:hint="default"/>
      </w:rPr>
    </w:lvl>
    <w:lvl w:ilvl="1">
      <w:start w:val="1"/>
      <w:numFmt w:val="decimal"/>
      <w:isLgl/>
      <w:lvlText w:val="%1.%2."/>
      <w:lvlJc w:val="left"/>
      <w:pPr>
        <w:ind w:left="1774" w:hanging="360"/>
      </w:pPr>
      <w:rPr>
        <w:rFonts w:hint="default"/>
      </w:rPr>
    </w:lvl>
    <w:lvl w:ilvl="2">
      <w:start w:val="1"/>
      <w:numFmt w:val="decimal"/>
      <w:isLgl/>
      <w:lvlText w:val="%1.%2.%3."/>
      <w:lvlJc w:val="left"/>
      <w:pPr>
        <w:ind w:left="3188" w:hanging="720"/>
      </w:pPr>
      <w:rPr>
        <w:rFonts w:hint="default"/>
      </w:rPr>
    </w:lvl>
    <w:lvl w:ilvl="3">
      <w:start w:val="1"/>
      <w:numFmt w:val="decimal"/>
      <w:isLgl/>
      <w:lvlText w:val="%1.%2.%3.%4."/>
      <w:lvlJc w:val="left"/>
      <w:pPr>
        <w:ind w:left="4242" w:hanging="720"/>
      </w:pPr>
      <w:rPr>
        <w:rFonts w:hint="default"/>
      </w:rPr>
    </w:lvl>
    <w:lvl w:ilvl="4">
      <w:start w:val="1"/>
      <w:numFmt w:val="decimal"/>
      <w:isLgl/>
      <w:lvlText w:val="%1.%2.%3.%4.%5."/>
      <w:lvlJc w:val="left"/>
      <w:pPr>
        <w:ind w:left="5656" w:hanging="1080"/>
      </w:pPr>
      <w:rPr>
        <w:rFonts w:hint="default"/>
      </w:rPr>
    </w:lvl>
    <w:lvl w:ilvl="5">
      <w:start w:val="1"/>
      <w:numFmt w:val="decimal"/>
      <w:isLgl/>
      <w:lvlText w:val="%1.%2.%3.%4.%5.%6."/>
      <w:lvlJc w:val="left"/>
      <w:pPr>
        <w:ind w:left="6710" w:hanging="1080"/>
      </w:pPr>
      <w:rPr>
        <w:rFonts w:hint="default"/>
      </w:rPr>
    </w:lvl>
    <w:lvl w:ilvl="6">
      <w:start w:val="1"/>
      <w:numFmt w:val="decimal"/>
      <w:isLgl/>
      <w:lvlText w:val="%1.%2.%3.%4.%5.%6.%7."/>
      <w:lvlJc w:val="left"/>
      <w:pPr>
        <w:ind w:left="8124" w:hanging="1440"/>
      </w:pPr>
      <w:rPr>
        <w:rFonts w:hint="default"/>
      </w:rPr>
    </w:lvl>
    <w:lvl w:ilvl="7">
      <w:start w:val="1"/>
      <w:numFmt w:val="decimal"/>
      <w:isLgl/>
      <w:lvlText w:val="%1.%2.%3.%4.%5.%6.%7.%8."/>
      <w:lvlJc w:val="left"/>
      <w:pPr>
        <w:ind w:left="9178" w:hanging="1440"/>
      </w:pPr>
      <w:rPr>
        <w:rFonts w:hint="default"/>
      </w:rPr>
    </w:lvl>
    <w:lvl w:ilvl="8">
      <w:start w:val="1"/>
      <w:numFmt w:val="decimal"/>
      <w:isLgl/>
      <w:lvlText w:val="%1.%2.%3.%4.%5.%6.%7.%8.%9."/>
      <w:lvlJc w:val="left"/>
      <w:pPr>
        <w:ind w:left="10592" w:hanging="1800"/>
      </w:pPr>
      <w:rPr>
        <w:rFonts w:hint="default"/>
      </w:rPr>
    </w:lvl>
  </w:abstractNum>
  <w:abstractNum w:abstractNumId="83" w15:restartNumberingAfterBreak="0">
    <w:nsid w:val="5E524007"/>
    <w:multiLevelType w:val="hybridMultilevel"/>
    <w:tmpl w:val="2C9CD4AA"/>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84" w15:restartNumberingAfterBreak="0">
    <w:nsid w:val="5E703549"/>
    <w:multiLevelType w:val="multilevel"/>
    <w:tmpl w:val="E6B2E1B6"/>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5" w15:restartNumberingAfterBreak="0">
    <w:nsid w:val="5F0B6A01"/>
    <w:multiLevelType w:val="hybridMultilevel"/>
    <w:tmpl w:val="DAE6473A"/>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5FC73183"/>
    <w:multiLevelType w:val="hybridMultilevel"/>
    <w:tmpl w:val="3DBE1B76"/>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87" w15:restartNumberingAfterBreak="0">
    <w:nsid w:val="5FD54B3D"/>
    <w:multiLevelType w:val="multilevel"/>
    <w:tmpl w:val="AA62F4E0"/>
    <w:lvl w:ilvl="0">
      <w:start w:val="1"/>
      <w:numFmt w:val="decimal"/>
      <w:lvlText w:val="%1."/>
      <w:lvlJc w:val="left"/>
      <w:pPr>
        <w:ind w:left="928" w:hanging="360"/>
      </w:pPr>
    </w:lvl>
    <w:lvl w:ilvl="1">
      <w:start w:val="1"/>
      <w:numFmt w:val="decimal"/>
      <w:lvlText w:val="%1.%2."/>
      <w:lvlJc w:val="left"/>
      <w:pPr>
        <w:ind w:left="1152" w:hanging="432"/>
      </w:pPr>
      <w:rPr>
        <w:b/>
      </w:rPr>
    </w:lvl>
    <w:lvl w:ilvl="2">
      <w:start w:val="1"/>
      <w:numFmt w:val="decimal"/>
      <w:lvlText w:val="%1.%2.%3."/>
      <w:lvlJc w:val="left"/>
      <w:pPr>
        <w:ind w:left="2915" w:hanging="504"/>
      </w:pPr>
      <w:rPr>
        <w:rFonts w:ascii="Verdana" w:hAnsi="Verdana" w:hint="default"/>
        <w:b w:val="0"/>
        <w:i w:val="0"/>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8" w15:restartNumberingAfterBreak="0">
    <w:nsid w:val="5FED5A4C"/>
    <w:multiLevelType w:val="hybridMultilevel"/>
    <w:tmpl w:val="9AC4BFFC"/>
    <w:lvl w:ilvl="0" w:tplc="04190001">
      <w:start w:val="1"/>
      <w:numFmt w:val="bullet"/>
      <w:lvlText w:val=""/>
      <w:lvlJc w:val="left"/>
      <w:pPr>
        <w:ind w:left="2808" w:hanging="360"/>
      </w:pPr>
      <w:rPr>
        <w:rFonts w:ascii="Symbol" w:hAnsi="Symbol" w:hint="default"/>
      </w:rPr>
    </w:lvl>
    <w:lvl w:ilvl="1" w:tplc="04190003" w:tentative="1">
      <w:start w:val="1"/>
      <w:numFmt w:val="bullet"/>
      <w:lvlText w:val="o"/>
      <w:lvlJc w:val="left"/>
      <w:pPr>
        <w:ind w:left="3528" w:hanging="360"/>
      </w:pPr>
      <w:rPr>
        <w:rFonts w:ascii="Courier New" w:hAnsi="Courier New" w:cs="Courier New" w:hint="default"/>
      </w:rPr>
    </w:lvl>
    <w:lvl w:ilvl="2" w:tplc="04190005" w:tentative="1">
      <w:start w:val="1"/>
      <w:numFmt w:val="bullet"/>
      <w:lvlText w:val=""/>
      <w:lvlJc w:val="left"/>
      <w:pPr>
        <w:ind w:left="4248" w:hanging="360"/>
      </w:pPr>
      <w:rPr>
        <w:rFonts w:ascii="Wingdings" w:hAnsi="Wingdings" w:hint="default"/>
      </w:rPr>
    </w:lvl>
    <w:lvl w:ilvl="3" w:tplc="04190001" w:tentative="1">
      <w:start w:val="1"/>
      <w:numFmt w:val="bullet"/>
      <w:lvlText w:val=""/>
      <w:lvlJc w:val="left"/>
      <w:pPr>
        <w:ind w:left="4968" w:hanging="360"/>
      </w:pPr>
      <w:rPr>
        <w:rFonts w:ascii="Symbol" w:hAnsi="Symbol" w:hint="default"/>
      </w:rPr>
    </w:lvl>
    <w:lvl w:ilvl="4" w:tplc="04190003" w:tentative="1">
      <w:start w:val="1"/>
      <w:numFmt w:val="bullet"/>
      <w:lvlText w:val="o"/>
      <w:lvlJc w:val="left"/>
      <w:pPr>
        <w:ind w:left="5688" w:hanging="360"/>
      </w:pPr>
      <w:rPr>
        <w:rFonts w:ascii="Courier New" w:hAnsi="Courier New" w:cs="Courier New" w:hint="default"/>
      </w:rPr>
    </w:lvl>
    <w:lvl w:ilvl="5" w:tplc="04190005" w:tentative="1">
      <w:start w:val="1"/>
      <w:numFmt w:val="bullet"/>
      <w:lvlText w:val=""/>
      <w:lvlJc w:val="left"/>
      <w:pPr>
        <w:ind w:left="6408" w:hanging="360"/>
      </w:pPr>
      <w:rPr>
        <w:rFonts w:ascii="Wingdings" w:hAnsi="Wingdings" w:hint="default"/>
      </w:rPr>
    </w:lvl>
    <w:lvl w:ilvl="6" w:tplc="04190001" w:tentative="1">
      <w:start w:val="1"/>
      <w:numFmt w:val="bullet"/>
      <w:lvlText w:val=""/>
      <w:lvlJc w:val="left"/>
      <w:pPr>
        <w:ind w:left="7128" w:hanging="360"/>
      </w:pPr>
      <w:rPr>
        <w:rFonts w:ascii="Symbol" w:hAnsi="Symbol" w:hint="default"/>
      </w:rPr>
    </w:lvl>
    <w:lvl w:ilvl="7" w:tplc="04190003" w:tentative="1">
      <w:start w:val="1"/>
      <w:numFmt w:val="bullet"/>
      <w:lvlText w:val="o"/>
      <w:lvlJc w:val="left"/>
      <w:pPr>
        <w:ind w:left="7848" w:hanging="360"/>
      </w:pPr>
      <w:rPr>
        <w:rFonts w:ascii="Courier New" w:hAnsi="Courier New" w:cs="Courier New" w:hint="default"/>
      </w:rPr>
    </w:lvl>
    <w:lvl w:ilvl="8" w:tplc="04190005" w:tentative="1">
      <w:start w:val="1"/>
      <w:numFmt w:val="bullet"/>
      <w:lvlText w:val=""/>
      <w:lvlJc w:val="left"/>
      <w:pPr>
        <w:ind w:left="8568" w:hanging="360"/>
      </w:pPr>
      <w:rPr>
        <w:rFonts w:ascii="Wingdings" w:hAnsi="Wingdings" w:hint="default"/>
      </w:rPr>
    </w:lvl>
  </w:abstractNum>
  <w:abstractNum w:abstractNumId="89" w15:restartNumberingAfterBreak="0">
    <w:nsid w:val="611F37CB"/>
    <w:multiLevelType w:val="hybridMultilevel"/>
    <w:tmpl w:val="AB486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1763793"/>
    <w:multiLevelType w:val="hybridMultilevel"/>
    <w:tmpl w:val="8DDE26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6203577D"/>
    <w:multiLevelType w:val="hybridMultilevel"/>
    <w:tmpl w:val="53A08A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15:restartNumberingAfterBreak="0">
    <w:nsid w:val="63185119"/>
    <w:multiLevelType w:val="hybridMultilevel"/>
    <w:tmpl w:val="E70C7F3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3" w15:restartNumberingAfterBreak="0">
    <w:nsid w:val="64C06612"/>
    <w:multiLevelType w:val="hybridMultilevel"/>
    <w:tmpl w:val="0562D3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15:restartNumberingAfterBreak="0">
    <w:nsid w:val="65997724"/>
    <w:multiLevelType w:val="hybridMultilevel"/>
    <w:tmpl w:val="EE96872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5" w15:restartNumberingAfterBreak="0">
    <w:nsid w:val="66452F32"/>
    <w:multiLevelType w:val="hybridMultilevel"/>
    <w:tmpl w:val="60D8C7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6" w15:restartNumberingAfterBreak="0">
    <w:nsid w:val="678C2139"/>
    <w:multiLevelType w:val="hybridMultilevel"/>
    <w:tmpl w:val="A18C1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67B6757D"/>
    <w:multiLevelType w:val="hybridMultilevel"/>
    <w:tmpl w:val="EC46F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68781A7C"/>
    <w:multiLevelType w:val="hybridMultilevel"/>
    <w:tmpl w:val="950C673A"/>
    <w:lvl w:ilvl="0" w:tplc="664629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68EC6436"/>
    <w:multiLevelType w:val="hybridMultilevel"/>
    <w:tmpl w:val="A4AC0214"/>
    <w:lvl w:ilvl="0" w:tplc="04190001">
      <w:start w:val="1"/>
      <w:numFmt w:val="bullet"/>
      <w:lvlText w:val=""/>
      <w:lvlJc w:val="left"/>
      <w:pPr>
        <w:ind w:left="2138" w:hanging="360"/>
      </w:pPr>
      <w:rPr>
        <w:rFonts w:ascii="Symbol" w:hAnsi="Symbol" w:hint="default"/>
      </w:rPr>
    </w:lvl>
    <w:lvl w:ilvl="1" w:tplc="37C02C98">
      <w:start w:val="1"/>
      <w:numFmt w:val="decimal"/>
      <w:lvlText w:val="%2)"/>
      <w:lvlJc w:val="left"/>
      <w:pPr>
        <w:ind w:left="3413" w:hanging="915"/>
      </w:pPr>
      <w:rPr>
        <w:rFonts w:hint="default"/>
      </w:r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00" w15:restartNumberingAfterBreak="0">
    <w:nsid w:val="6B0B5585"/>
    <w:multiLevelType w:val="hybridMultilevel"/>
    <w:tmpl w:val="2AE881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6CB478A2"/>
    <w:multiLevelType w:val="hybridMultilevel"/>
    <w:tmpl w:val="A2D43326"/>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102" w15:restartNumberingAfterBreak="0">
    <w:nsid w:val="6D977C1E"/>
    <w:multiLevelType w:val="hybridMultilevel"/>
    <w:tmpl w:val="AE92C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6FB83BD3"/>
    <w:multiLevelType w:val="hybridMultilevel"/>
    <w:tmpl w:val="41E672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71767F2D"/>
    <w:multiLevelType w:val="hybridMultilevel"/>
    <w:tmpl w:val="A28C5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15:restartNumberingAfterBreak="0">
    <w:nsid w:val="743A20CA"/>
    <w:multiLevelType w:val="hybridMultilevel"/>
    <w:tmpl w:val="33AE0D42"/>
    <w:lvl w:ilvl="0" w:tplc="04190005">
      <w:start w:val="1"/>
      <w:numFmt w:val="bullet"/>
      <w:lvlText w:val=""/>
      <w:lvlJc w:val="left"/>
      <w:pPr>
        <w:ind w:left="1428"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06" w15:restartNumberingAfterBreak="0">
    <w:nsid w:val="765024DB"/>
    <w:multiLevelType w:val="hybridMultilevel"/>
    <w:tmpl w:val="36C69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784E1641"/>
    <w:multiLevelType w:val="hybridMultilevel"/>
    <w:tmpl w:val="5032FD42"/>
    <w:lvl w:ilvl="0" w:tplc="615A51F6">
      <w:start w:val="1"/>
      <w:numFmt w:val="bullet"/>
      <w:lvlText w:val=""/>
      <w:lvlJc w:val="left"/>
      <w:pPr>
        <w:ind w:left="1440" w:hanging="360"/>
      </w:pPr>
      <w:rPr>
        <w:rFonts w:ascii="Symbol" w:hAnsi="Symbol"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8" w15:restartNumberingAfterBreak="0">
    <w:nsid w:val="78C03435"/>
    <w:multiLevelType w:val="hybridMultilevel"/>
    <w:tmpl w:val="511AEB1A"/>
    <w:lvl w:ilvl="0" w:tplc="D408ED0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15:restartNumberingAfterBreak="0">
    <w:nsid w:val="7ABE149A"/>
    <w:multiLevelType w:val="hybridMultilevel"/>
    <w:tmpl w:val="37FAD32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10" w15:restartNumberingAfterBreak="0">
    <w:nsid w:val="7AED1C47"/>
    <w:multiLevelType w:val="hybridMultilevel"/>
    <w:tmpl w:val="32A8DE40"/>
    <w:lvl w:ilvl="0" w:tplc="04190017">
      <w:start w:val="1"/>
      <w:numFmt w:val="lowerLett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1" w15:restartNumberingAfterBreak="0">
    <w:nsid w:val="7BB93DE0"/>
    <w:multiLevelType w:val="multilevel"/>
    <w:tmpl w:val="BDBC6DB8"/>
    <w:lvl w:ilvl="0">
      <w:start w:val="1"/>
      <w:numFmt w:val="decimal"/>
      <w:pStyle w:val="10"/>
      <w:lvlText w:val="%1."/>
      <w:lvlJc w:val="left"/>
      <w:pPr>
        <w:ind w:left="432" w:hanging="432"/>
      </w:pPr>
      <w:rPr>
        <w:rFonts w:hint="default"/>
      </w:rPr>
    </w:lvl>
    <w:lvl w:ilvl="1">
      <w:start w:val="1"/>
      <w:numFmt w:val="decimal"/>
      <w:pStyle w:val="20"/>
      <w:lvlText w:val="%1.%2."/>
      <w:lvlJc w:val="left"/>
      <w:pPr>
        <w:ind w:left="1427" w:hanging="576"/>
      </w:pPr>
      <w:rPr>
        <w:rFonts w:hint="default"/>
        <w:color w:val="auto"/>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12" w15:restartNumberingAfterBreak="0">
    <w:nsid w:val="7E8211D8"/>
    <w:multiLevelType w:val="hybridMultilevel"/>
    <w:tmpl w:val="84B48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15:restartNumberingAfterBreak="0">
    <w:nsid w:val="7E845AC4"/>
    <w:multiLevelType w:val="hybridMultilevel"/>
    <w:tmpl w:val="9F26E02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14" w15:restartNumberingAfterBreak="0">
    <w:nsid w:val="7F873B4B"/>
    <w:multiLevelType w:val="hybridMultilevel"/>
    <w:tmpl w:val="DAD01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706683910">
    <w:abstractNumId w:val="81"/>
  </w:num>
  <w:num w:numId="2" w16cid:durableId="928081506">
    <w:abstractNumId w:val="37"/>
  </w:num>
  <w:num w:numId="3" w16cid:durableId="667250195">
    <w:abstractNumId w:val="110"/>
  </w:num>
  <w:num w:numId="4" w16cid:durableId="1580289539">
    <w:abstractNumId w:val="20"/>
  </w:num>
  <w:num w:numId="5" w16cid:durableId="202206945">
    <w:abstractNumId w:val="99"/>
  </w:num>
  <w:num w:numId="6" w16cid:durableId="225192877">
    <w:abstractNumId w:val="63"/>
  </w:num>
  <w:num w:numId="7" w16cid:durableId="2092193973">
    <w:abstractNumId w:val="54"/>
  </w:num>
  <w:num w:numId="8" w16cid:durableId="1019696594">
    <w:abstractNumId w:val="12"/>
  </w:num>
  <w:num w:numId="9" w16cid:durableId="1754158553">
    <w:abstractNumId w:val="7"/>
  </w:num>
  <w:num w:numId="10" w16cid:durableId="1623923505">
    <w:abstractNumId w:val="23"/>
  </w:num>
  <w:num w:numId="11" w16cid:durableId="260724918">
    <w:abstractNumId w:val="101"/>
  </w:num>
  <w:num w:numId="12" w16cid:durableId="1483693036">
    <w:abstractNumId w:val="104"/>
  </w:num>
  <w:num w:numId="13" w16cid:durableId="1606573782">
    <w:abstractNumId w:val="27"/>
  </w:num>
  <w:num w:numId="14" w16cid:durableId="146439524">
    <w:abstractNumId w:val="65"/>
  </w:num>
  <w:num w:numId="15" w16cid:durableId="851263878">
    <w:abstractNumId w:val="70"/>
  </w:num>
  <w:num w:numId="16" w16cid:durableId="632827230">
    <w:abstractNumId w:val="21"/>
  </w:num>
  <w:num w:numId="17" w16cid:durableId="414205713">
    <w:abstractNumId w:val="56"/>
  </w:num>
  <w:num w:numId="18" w16cid:durableId="1034034982">
    <w:abstractNumId w:val="111"/>
  </w:num>
  <w:num w:numId="19" w16cid:durableId="1517764224">
    <w:abstractNumId w:val="108"/>
  </w:num>
  <w:num w:numId="20" w16cid:durableId="1552304795">
    <w:abstractNumId w:val="46"/>
  </w:num>
  <w:num w:numId="21" w16cid:durableId="846479277">
    <w:abstractNumId w:val="86"/>
  </w:num>
  <w:num w:numId="22" w16cid:durableId="1809129606">
    <w:abstractNumId w:val="17"/>
  </w:num>
  <w:num w:numId="23" w16cid:durableId="2137793426">
    <w:abstractNumId w:val="83"/>
  </w:num>
  <w:num w:numId="24" w16cid:durableId="2021736622">
    <w:abstractNumId w:val="66"/>
  </w:num>
  <w:num w:numId="25" w16cid:durableId="1695233078">
    <w:abstractNumId w:val="48"/>
  </w:num>
  <w:num w:numId="26" w16cid:durableId="2084791374">
    <w:abstractNumId w:val="62"/>
  </w:num>
  <w:num w:numId="27" w16cid:durableId="1596474025">
    <w:abstractNumId w:val="113"/>
  </w:num>
  <w:num w:numId="28" w16cid:durableId="867370479">
    <w:abstractNumId w:val="106"/>
  </w:num>
  <w:num w:numId="29" w16cid:durableId="734667471">
    <w:abstractNumId w:val="14"/>
  </w:num>
  <w:num w:numId="30" w16cid:durableId="681474663">
    <w:abstractNumId w:val="35"/>
  </w:num>
  <w:num w:numId="31" w16cid:durableId="1402290096">
    <w:abstractNumId w:val="96"/>
  </w:num>
  <w:num w:numId="32" w16cid:durableId="964578335">
    <w:abstractNumId w:val="95"/>
  </w:num>
  <w:num w:numId="33" w16cid:durableId="1890067932">
    <w:abstractNumId w:val="52"/>
  </w:num>
  <w:num w:numId="34" w16cid:durableId="1575894588">
    <w:abstractNumId w:val="22"/>
  </w:num>
  <w:num w:numId="35" w16cid:durableId="1899170087">
    <w:abstractNumId w:val="73"/>
  </w:num>
  <w:num w:numId="36" w16cid:durableId="2052532313">
    <w:abstractNumId w:val="45"/>
  </w:num>
  <w:num w:numId="37" w16cid:durableId="249974744">
    <w:abstractNumId w:val="112"/>
  </w:num>
  <w:num w:numId="38" w16cid:durableId="937176136">
    <w:abstractNumId w:val="33"/>
  </w:num>
  <w:num w:numId="39" w16cid:durableId="42868990">
    <w:abstractNumId w:val="91"/>
  </w:num>
  <w:num w:numId="40" w16cid:durableId="416945096">
    <w:abstractNumId w:val="15"/>
  </w:num>
  <w:num w:numId="41" w16cid:durableId="1875657737">
    <w:abstractNumId w:val="90"/>
  </w:num>
  <w:num w:numId="42" w16cid:durableId="812137992">
    <w:abstractNumId w:val="4"/>
  </w:num>
  <w:num w:numId="43" w16cid:durableId="409889750">
    <w:abstractNumId w:val="61"/>
  </w:num>
  <w:num w:numId="44" w16cid:durableId="1335719238">
    <w:abstractNumId w:val="82"/>
  </w:num>
  <w:num w:numId="45" w16cid:durableId="1788310505">
    <w:abstractNumId w:val="41"/>
  </w:num>
  <w:num w:numId="46" w16cid:durableId="1910267802">
    <w:abstractNumId w:val="19"/>
  </w:num>
  <w:num w:numId="47" w16cid:durableId="1299334432">
    <w:abstractNumId w:val="3"/>
  </w:num>
  <w:num w:numId="48" w16cid:durableId="767702227">
    <w:abstractNumId w:val="13"/>
  </w:num>
  <w:num w:numId="49" w16cid:durableId="47339189">
    <w:abstractNumId w:val="26"/>
  </w:num>
  <w:num w:numId="50" w16cid:durableId="816336641">
    <w:abstractNumId w:val="31"/>
  </w:num>
  <w:num w:numId="51" w16cid:durableId="1692103386">
    <w:abstractNumId w:val="49"/>
  </w:num>
  <w:num w:numId="52" w16cid:durableId="1316257718">
    <w:abstractNumId w:val="87"/>
  </w:num>
  <w:num w:numId="53" w16cid:durableId="26029746">
    <w:abstractNumId w:val="5"/>
  </w:num>
  <w:num w:numId="54" w16cid:durableId="179972754">
    <w:abstractNumId w:val="88"/>
  </w:num>
  <w:num w:numId="55" w16cid:durableId="209071959">
    <w:abstractNumId w:val="10"/>
  </w:num>
  <w:num w:numId="56" w16cid:durableId="1611233994">
    <w:abstractNumId w:val="29"/>
  </w:num>
  <w:num w:numId="57" w16cid:durableId="379746027">
    <w:abstractNumId w:val="0"/>
  </w:num>
  <w:num w:numId="58" w16cid:durableId="1576623089">
    <w:abstractNumId w:val="100"/>
  </w:num>
  <w:num w:numId="59" w16cid:durableId="819809002">
    <w:abstractNumId w:val="77"/>
  </w:num>
  <w:num w:numId="60" w16cid:durableId="841509231">
    <w:abstractNumId w:val="39"/>
  </w:num>
  <w:num w:numId="61" w16cid:durableId="1009331157">
    <w:abstractNumId w:val="60"/>
  </w:num>
  <w:num w:numId="62" w16cid:durableId="1893685959">
    <w:abstractNumId w:val="32"/>
  </w:num>
  <w:num w:numId="63" w16cid:durableId="195385880">
    <w:abstractNumId w:val="114"/>
  </w:num>
  <w:num w:numId="64" w16cid:durableId="1038505028">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573970615">
    <w:abstractNumId w:val="84"/>
  </w:num>
  <w:num w:numId="66" w16cid:durableId="1869558232">
    <w:abstractNumId w:val="98"/>
  </w:num>
  <w:num w:numId="67" w16cid:durableId="118228043">
    <w:abstractNumId w:val="71"/>
  </w:num>
  <w:num w:numId="68" w16cid:durableId="1676498631">
    <w:abstractNumId w:val="9"/>
  </w:num>
  <w:num w:numId="69" w16cid:durableId="1897161273">
    <w:abstractNumId w:val="75"/>
  </w:num>
  <w:num w:numId="70" w16cid:durableId="996230903">
    <w:abstractNumId w:val="44"/>
  </w:num>
  <w:num w:numId="71" w16cid:durableId="2079397816">
    <w:abstractNumId w:val="79"/>
  </w:num>
  <w:num w:numId="72" w16cid:durableId="1846826673">
    <w:abstractNumId w:val="97"/>
  </w:num>
  <w:num w:numId="73" w16cid:durableId="701130331">
    <w:abstractNumId w:val="89"/>
  </w:num>
  <w:num w:numId="74" w16cid:durableId="720329099">
    <w:abstractNumId w:val="102"/>
  </w:num>
  <w:num w:numId="75" w16cid:durableId="1197959975">
    <w:abstractNumId w:val="93"/>
  </w:num>
  <w:num w:numId="76" w16cid:durableId="1611278780">
    <w:abstractNumId w:val="69"/>
  </w:num>
  <w:num w:numId="77" w16cid:durableId="1443913415">
    <w:abstractNumId w:val="57"/>
  </w:num>
  <w:num w:numId="78" w16cid:durableId="843472004">
    <w:abstractNumId w:val="43"/>
  </w:num>
  <w:num w:numId="79" w16cid:durableId="2042508022">
    <w:abstractNumId w:val="8"/>
  </w:num>
  <w:num w:numId="80" w16cid:durableId="1299073652">
    <w:abstractNumId w:val="107"/>
  </w:num>
  <w:num w:numId="81" w16cid:durableId="2125683239">
    <w:abstractNumId w:val="85"/>
  </w:num>
  <w:num w:numId="82" w16cid:durableId="1991516277">
    <w:abstractNumId w:val="47"/>
  </w:num>
  <w:num w:numId="83" w16cid:durableId="1122071587">
    <w:abstractNumId w:val="103"/>
  </w:num>
  <w:num w:numId="84" w16cid:durableId="1682661701">
    <w:abstractNumId w:val="2"/>
  </w:num>
  <w:num w:numId="85" w16cid:durableId="1724598845">
    <w:abstractNumId w:val="1"/>
  </w:num>
  <w:num w:numId="86" w16cid:durableId="1715038353">
    <w:abstractNumId w:val="55"/>
  </w:num>
  <w:num w:numId="87" w16cid:durableId="89346306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540124214">
    <w:abstractNumId w:val="49"/>
  </w:num>
  <w:num w:numId="89" w16cid:durableId="1297639601">
    <w:abstractNumId w:val="24"/>
  </w:num>
  <w:num w:numId="90" w16cid:durableId="1262491225">
    <w:abstractNumId w:val="51"/>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91" w16cid:durableId="1860659258">
    <w:abstractNumId w:val="25"/>
  </w:num>
  <w:num w:numId="92" w16cid:durableId="92230442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41585881">
    <w:abstractNumId w:val="16"/>
  </w:num>
  <w:num w:numId="94" w16cid:durableId="1172993716">
    <w:abstractNumId w:val="72"/>
  </w:num>
  <w:num w:numId="95" w16cid:durableId="865824277">
    <w:abstractNumId w:val="50"/>
  </w:num>
  <w:num w:numId="96" w16cid:durableId="113060740">
    <w:abstractNumId w:val="109"/>
  </w:num>
  <w:num w:numId="97" w16cid:durableId="102187980">
    <w:abstractNumId w:val="6"/>
  </w:num>
  <w:num w:numId="98" w16cid:durableId="1888493630">
    <w:abstractNumId w:val="42"/>
  </w:num>
  <w:num w:numId="99" w16cid:durableId="313535166">
    <w:abstractNumId w:val="64"/>
  </w:num>
  <w:num w:numId="100" w16cid:durableId="766998229">
    <w:abstractNumId w:val="36"/>
  </w:num>
  <w:num w:numId="101" w16cid:durableId="366104582">
    <w:abstractNumId w:val="76"/>
  </w:num>
  <w:num w:numId="102" w16cid:durableId="1586067400">
    <w:abstractNumId w:val="34"/>
  </w:num>
  <w:num w:numId="103" w16cid:durableId="452022689">
    <w:abstractNumId w:val="92"/>
  </w:num>
  <w:num w:numId="104" w16cid:durableId="684550746">
    <w:abstractNumId w:val="40"/>
  </w:num>
  <w:num w:numId="105" w16cid:durableId="360014761">
    <w:abstractNumId w:val="80"/>
  </w:num>
  <w:num w:numId="106" w16cid:durableId="161844059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912856933">
    <w:abstractNumId w:val="105"/>
  </w:num>
  <w:num w:numId="108" w16cid:durableId="1559441629">
    <w:abstractNumId w:val="59"/>
  </w:num>
  <w:num w:numId="109" w16cid:durableId="1627394125">
    <w:abstractNumId w:val="58"/>
  </w:num>
  <w:num w:numId="110" w16cid:durableId="109119439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691028919">
    <w:abstractNumId w:val="28"/>
  </w:num>
  <w:num w:numId="112" w16cid:durableId="755520026">
    <w:abstractNumId w:val="94"/>
  </w:num>
  <w:num w:numId="113" w16cid:durableId="601842411">
    <w:abstractNumId w:val="111"/>
  </w:num>
  <w:num w:numId="114" w16cid:durableId="1934049640">
    <w:abstractNumId w:val="18"/>
  </w:num>
  <w:num w:numId="115" w16cid:durableId="399181472">
    <w:abstractNumId w:val="11"/>
  </w:num>
  <w:num w:numId="116" w16cid:durableId="1274677827">
    <w:abstractNumId w:val="18"/>
  </w:num>
  <w:num w:numId="117" w16cid:durableId="638728512">
    <w:abstractNumId w:val="11"/>
  </w:num>
  <w:num w:numId="118" w16cid:durableId="367679553">
    <w:abstractNumId w:val="111"/>
  </w:num>
  <w:num w:numId="119" w16cid:durableId="5376043">
    <w:abstractNumId w:val="78"/>
  </w:num>
  <w:num w:numId="120" w16cid:durableId="1810442119">
    <w:abstractNumId w:val="30"/>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visionView w:markup="0"/>
  <w:trackRevisions/>
  <w:documentProtection w:edit="readOnly" w:enforcement="0"/>
  <w:defaultTabStop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B66"/>
    <w:rsid w:val="0000010A"/>
    <w:rsid w:val="00000397"/>
    <w:rsid w:val="000007D8"/>
    <w:rsid w:val="000012AA"/>
    <w:rsid w:val="0000134C"/>
    <w:rsid w:val="000013E6"/>
    <w:rsid w:val="000014AC"/>
    <w:rsid w:val="000019FD"/>
    <w:rsid w:val="00001B18"/>
    <w:rsid w:val="00002121"/>
    <w:rsid w:val="00002472"/>
    <w:rsid w:val="0000267B"/>
    <w:rsid w:val="00002738"/>
    <w:rsid w:val="000027DF"/>
    <w:rsid w:val="00002924"/>
    <w:rsid w:val="00002A4F"/>
    <w:rsid w:val="000035CB"/>
    <w:rsid w:val="0000367E"/>
    <w:rsid w:val="000038A6"/>
    <w:rsid w:val="0000395E"/>
    <w:rsid w:val="00003DA0"/>
    <w:rsid w:val="00004002"/>
    <w:rsid w:val="0000424B"/>
    <w:rsid w:val="00004496"/>
    <w:rsid w:val="000045D6"/>
    <w:rsid w:val="000048E4"/>
    <w:rsid w:val="000048F0"/>
    <w:rsid w:val="0000525D"/>
    <w:rsid w:val="0000531C"/>
    <w:rsid w:val="000055D8"/>
    <w:rsid w:val="00005765"/>
    <w:rsid w:val="0000588D"/>
    <w:rsid w:val="00005A85"/>
    <w:rsid w:val="00005C0E"/>
    <w:rsid w:val="00005F52"/>
    <w:rsid w:val="00005FE4"/>
    <w:rsid w:val="00006BDB"/>
    <w:rsid w:val="00006C3E"/>
    <w:rsid w:val="00007582"/>
    <w:rsid w:val="00007643"/>
    <w:rsid w:val="00007BA1"/>
    <w:rsid w:val="00007ECB"/>
    <w:rsid w:val="00007F7B"/>
    <w:rsid w:val="000100CB"/>
    <w:rsid w:val="000101E4"/>
    <w:rsid w:val="00010771"/>
    <w:rsid w:val="000109AD"/>
    <w:rsid w:val="00010A59"/>
    <w:rsid w:val="00010AD6"/>
    <w:rsid w:val="00010B91"/>
    <w:rsid w:val="00010D72"/>
    <w:rsid w:val="00010F6D"/>
    <w:rsid w:val="000115BB"/>
    <w:rsid w:val="000116B9"/>
    <w:rsid w:val="0001174A"/>
    <w:rsid w:val="00011A5D"/>
    <w:rsid w:val="00012549"/>
    <w:rsid w:val="000125F4"/>
    <w:rsid w:val="0001293D"/>
    <w:rsid w:val="00012C4C"/>
    <w:rsid w:val="000131D3"/>
    <w:rsid w:val="00013302"/>
    <w:rsid w:val="00013758"/>
    <w:rsid w:val="000137B7"/>
    <w:rsid w:val="00013C75"/>
    <w:rsid w:val="00014140"/>
    <w:rsid w:val="00014220"/>
    <w:rsid w:val="00014312"/>
    <w:rsid w:val="000143A1"/>
    <w:rsid w:val="000143E3"/>
    <w:rsid w:val="00014F0C"/>
    <w:rsid w:val="00015275"/>
    <w:rsid w:val="00015919"/>
    <w:rsid w:val="00015AC1"/>
    <w:rsid w:val="00015C4A"/>
    <w:rsid w:val="00015D36"/>
    <w:rsid w:val="00015F9F"/>
    <w:rsid w:val="0001617B"/>
    <w:rsid w:val="000167F7"/>
    <w:rsid w:val="00016C97"/>
    <w:rsid w:val="00016F44"/>
    <w:rsid w:val="00017061"/>
    <w:rsid w:val="000171DF"/>
    <w:rsid w:val="0001748B"/>
    <w:rsid w:val="00017A5C"/>
    <w:rsid w:val="00017D3C"/>
    <w:rsid w:val="0002017C"/>
    <w:rsid w:val="00020204"/>
    <w:rsid w:val="00020AE4"/>
    <w:rsid w:val="00020E11"/>
    <w:rsid w:val="000217C3"/>
    <w:rsid w:val="00021C2E"/>
    <w:rsid w:val="00021D04"/>
    <w:rsid w:val="00021D78"/>
    <w:rsid w:val="0002211F"/>
    <w:rsid w:val="00022325"/>
    <w:rsid w:val="000223DB"/>
    <w:rsid w:val="00022617"/>
    <w:rsid w:val="000227D5"/>
    <w:rsid w:val="000228D1"/>
    <w:rsid w:val="00022DE9"/>
    <w:rsid w:val="00023069"/>
    <w:rsid w:val="000231C6"/>
    <w:rsid w:val="00023A0E"/>
    <w:rsid w:val="00023ED0"/>
    <w:rsid w:val="00024BEC"/>
    <w:rsid w:val="00024EAA"/>
    <w:rsid w:val="00024EE8"/>
    <w:rsid w:val="00024F97"/>
    <w:rsid w:val="00025417"/>
    <w:rsid w:val="0002584A"/>
    <w:rsid w:val="00025F8A"/>
    <w:rsid w:val="00026038"/>
    <w:rsid w:val="00026AC7"/>
    <w:rsid w:val="00026ACD"/>
    <w:rsid w:val="00026EA6"/>
    <w:rsid w:val="00026F0E"/>
    <w:rsid w:val="000271BE"/>
    <w:rsid w:val="000272F3"/>
    <w:rsid w:val="00027DB8"/>
    <w:rsid w:val="000301D7"/>
    <w:rsid w:val="000305AD"/>
    <w:rsid w:val="00030894"/>
    <w:rsid w:val="00030933"/>
    <w:rsid w:val="00030F7F"/>
    <w:rsid w:val="00030F81"/>
    <w:rsid w:val="00030FC2"/>
    <w:rsid w:val="00031AB6"/>
    <w:rsid w:val="00031C7D"/>
    <w:rsid w:val="00031F3C"/>
    <w:rsid w:val="000320A0"/>
    <w:rsid w:val="00032604"/>
    <w:rsid w:val="00032889"/>
    <w:rsid w:val="00032B10"/>
    <w:rsid w:val="00032C17"/>
    <w:rsid w:val="0003333B"/>
    <w:rsid w:val="00033386"/>
    <w:rsid w:val="000334CA"/>
    <w:rsid w:val="00033CA3"/>
    <w:rsid w:val="00033F72"/>
    <w:rsid w:val="00034434"/>
    <w:rsid w:val="000349FF"/>
    <w:rsid w:val="00034A10"/>
    <w:rsid w:val="00034EDB"/>
    <w:rsid w:val="000350CA"/>
    <w:rsid w:val="00035552"/>
    <w:rsid w:val="00035F54"/>
    <w:rsid w:val="000360F5"/>
    <w:rsid w:val="00036AF9"/>
    <w:rsid w:val="00036B61"/>
    <w:rsid w:val="00036C08"/>
    <w:rsid w:val="00036C1B"/>
    <w:rsid w:val="00036D34"/>
    <w:rsid w:val="00036DBE"/>
    <w:rsid w:val="00036E09"/>
    <w:rsid w:val="00036E14"/>
    <w:rsid w:val="000373BB"/>
    <w:rsid w:val="0003741B"/>
    <w:rsid w:val="000377FA"/>
    <w:rsid w:val="00037839"/>
    <w:rsid w:val="00037927"/>
    <w:rsid w:val="00037E8A"/>
    <w:rsid w:val="00040209"/>
    <w:rsid w:val="000403DF"/>
    <w:rsid w:val="000403E1"/>
    <w:rsid w:val="0004056B"/>
    <w:rsid w:val="000405B6"/>
    <w:rsid w:val="000406B3"/>
    <w:rsid w:val="00040BC2"/>
    <w:rsid w:val="00040EE7"/>
    <w:rsid w:val="00041034"/>
    <w:rsid w:val="000410F5"/>
    <w:rsid w:val="00041960"/>
    <w:rsid w:val="00041AC1"/>
    <w:rsid w:val="00041BEA"/>
    <w:rsid w:val="00041D99"/>
    <w:rsid w:val="00041FC9"/>
    <w:rsid w:val="000420C1"/>
    <w:rsid w:val="00042288"/>
    <w:rsid w:val="00042331"/>
    <w:rsid w:val="000425C8"/>
    <w:rsid w:val="000427E8"/>
    <w:rsid w:val="00042846"/>
    <w:rsid w:val="00042A84"/>
    <w:rsid w:val="00042D7A"/>
    <w:rsid w:val="00042E6C"/>
    <w:rsid w:val="00043245"/>
    <w:rsid w:val="000433BB"/>
    <w:rsid w:val="000433D1"/>
    <w:rsid w:val="00043D21"/>
    <w:rsid w:val="00043DCE"/>
    <w:rsid w:val="00043DE0"/>
    <w:rsid w:val="000440A5"/>
    <w:rsid w:val="00044710"/>
    <w:rsid w:val="00044960"/>
    <w:rsid w:val="00044B62"/>
    <w:rsid w:val="0004521B"/>
    <w:rsid w:val="000458CE"/>
    <w:rsid w:val="00045CFF"/>
    <w:rsid w:val="00045D38"/>
    <w:rsid w:val="00045F61"/>
    <w:rsid w:val="0004603E"/>
    <w:rsid w:val="00046215"/>
    <w:rsid w:val="000463F1"/>
    <w:rsid w:val="00047229"/>
    <w:rsid w:val="00047B01"/>
    <w:rsid w:val="00050051"/>
    <w:rsid w:val="00050345"/>
    <w:rsid w:val="0005039E"/>
    <w:rsid w:val="0005040B"/>
    <w:rsid w:val="000506A4"/>
    <w:rsid w:val="00050788"/>
    <w:rsid w:val="00050966"/>
    <w:rsid w:val="000509F3"/>
    <w:rsid w:val="00051226"/>
    <w:rsid w:val="000518B9"/>
    <w:rsid w:val="00051AA9"/>
    <w:rsid w:val="0005223F"/>
    <w:rsid w:val="000522A8"/>
    <w:rsid w:val="000522C3"/>
    <w:rsid w:val="00052392"/>
    <w:rsid w:val="00052496"/>
    <w:rsid w:val="00052A3F"/>
    <w:rsid w:val="00052BF6"/>
    <w:rsid w:val="00052F29"/>
    <w:rsid w:val="00053670"/>
    <w:rsid w:val="00053AB4"/>
    <w:rsid w:val="00053DFF"/>
    <w:rsid w:val="00054DBA"/>
    <w:rsid w:val="00054F58"/>
    <w:rsid w:val="00055015"/>
    <w:rsid w:val="00055454"/>
    <w:rsid w:val="00055844"/>
    <w:rsid w:val="00055CA3"/>
    <w:rsid w:val="000568C7"/>
    <w:rsid w:val="00057216"/>
    <w:rsid w:val="000574CB"/>
    <w:rsid w:val="000577AB"/>
    <w:rsid w:val="00057D24"/>
    <w:rsid w:val="00057EAA"/>
    <w:rsid w:val="00060318"/>
    <w:rsid w:val="0006033D"/>
    <w:rsid w:val="000603F0"/>
    <w:rsid w:val="000605E0"/>
    <w:rsid w:val="00060C05"/>
    <w:rsid w:val="00060C64"/>
    <w:rsid w:val="00060DE0"/>
    <w:rsid w:val="000611F0"/>
    <w:rsid w:val="000617F9"/>
    <w:rsid w:val="000618E5"/>
    <w:rsid w:val="00061DF4"/>
    <w:rsid w:val="00061FA7"/>
    <w:rsid w:val="0006253C"/>
    <w:rsid w:val="00062B3C"/>
    <w:rsid w:val="00062C9B"/>
    <w:rsid w:val="00062E1B"/>
    <w:rsid w:val="00063234"/>
    <w:rsid w:val="00063672"/>
    <w:rsid w:val="00063951"/>
    <w:rsid w:val="00063BEE"/>
    <w:rsid w:val="00063D17"/>
    <w:rsid w:val="0006425A"/>
    <w:rsid w:val="00064288"/>
    <w:rsid w:val="00064495"/>
    <w:rsid w:val="00064DA7"/>
    <w:rsid w:val="00064DEA"/>
    <w:rsid w:val="00065063"/>
    <w:rsid w:val="000650FB"/>
    <w:rsid w:val="00065738"/>
    <w:rsid w:val="00065ADD"/>
    <w:rsid w:val="00065B83"/>
    <w:rsid w:val="000660AE"/>
    <w:rsid w:val="000666D1"/>
    <w:rsid w:val="000668F9"/>
    <w:rsid w:val="00066BA3"/>
    <w:rsid w:val="00066E2C"/>
    <w:rsid w:val="0006714C"/>
    <w:rsid w:val="0006740A"/>
    <w:rsid w:val="000706CA"/>
    <w:rsid w:val="000709D6"/>
    <w:rsid w:val="00070A28"/>
    <w:rsid w:val="00070D1D"/>
    <w:rsid w:val="00070F01"/>
    <w:rsid w:val="00070FE9"/>
    <w:rsid w:val="00071169"/>
    <w:rsid w:val="000714D9"/>
    <w:rsid w:val="00071748"/>
    <w:rsid w:val="00071B47"/>
    <w:rsid w:val="00072014"/>
    <w:rsid w:val="0007204B"/>
    <w:rsid w:val="000723A1"/>
    <w:rsid w:val="0007294B"/>
    <w:rsid w:val="00072E3B"/>
    <w:rsid w:val="000732B3"/>
    <w:rsid w:val="000736C9"/>
    <w:rsid w:val="00073A8C"/>
    <w:rsid w:val="00073DB2"/>
    <w:rsid w:val="00073EBD"/>
    <w:rsid w:val="00074125"/>
    <w:rsid w:val="000742B2"/>
    <w:rsid w:val="00074408"/>
    <w:rsid w:val="00074C97"/>
    <w:rsid w:val="00074DA5"/>
    <w:rsid w:val="00074DB9"/>
    <w:rsid w:val="00075373"/>
    <w:rsid w:val="000756D2"/>
    <w:rsid w:val="00075B10"/>
    <w:rsid w:val="00075F28"/>
    <w:rsid w:val="00075F7E"/>
    <w:rsid w:val="000763AE"/>
    <w:rsid w:val="0007659F"/>
    <w:rsid w:val="00076CD2"/>
    <w:rsid w:val="00076E42"/>
    <w:rsid w:val="00076E95"/>
    <w:rsid w:val="00076F86"/>
    <w:rsid w:val="000777CB"/>
    <w:rsid w:val="0007799A"/>
    <w:rsid w:val="00077A29"/>
    <w:rsid w:val="00077AFC"/>
    <w:rsid w:val="00077F4A"/>
    <w:rsid w:val="00080010"/>
    <w:rsid w:val="000800D2"/>
    <w:rsid w:val="0008013E"/>
    <w:rsid w:val="000801B8"/>
    <w:rsid w:val="00080273"/>
    <w:rsid w:val="00080A65"/>
    <w:rsid w:val="00080DAF"/>
    <w:rsid w:val="00081A64"/>
    <w:rsid w:val="00081E29"/>
    <w:rsid w:val="00081E9B"/>
    <w:rsid w:val="00082C0F"/>
    <w:rsid w:val="00082D9E"/>
    <w:rsid w:val="00083031"/>
    <w:rsid w:val="00083388"/>
    <w:rsid w:val="00083578"/>
    <w:rsid w:val="0008396A"/>
    <w:rsid w:val="00083980"/>
    <w:rsid w:val="0008430D"/>
    <w:rsid w:val="000844E9"/>
    <w:rsid w:val="000846CD"/>
    <w:rsid w:val="00084704"/>
    <w:rsid w:val="00084943"/>
    <w:rsid w:val="00084B98"/>
    <w:rsid w:val="00084D80"/>
    <w:rsid w:val="000858FF"/>
    <w:rsid w:val="0008616C"/>
    <w:rsid w:val="000865BF"/>
    <w:rsid w:val="00086E8C"/>
    <w:rsid w:val="00087835"/>
    <w:rsid w:val="00087998"/>
    <w:rsid w:val="00087B33"/>
    <w:rsid w:val="00087C6C"/>
    <w:rsid w:val="000901E6"/>
    <w:rsid w:val="00090351"/>
    <w:rsid w:val="00090D21"/>
    <w:rsid w:val="00090E25"/>
    <w:rsid w:val="00090E48"/>
    <w:rsid w:val="000910C1"/>
    <w:rsid w:val="00091196"/>
    <w:rsid w:val="000911E5"/>
    <w:rsid w:val="00091436"/>
    <w:rsid w:val="0009144D"/>
    <w:rsid w:val="00091469"/>
    <w:rsid w:val="00091F11"/>
    <w:rsid w:val="00091FB3"/>
    <w:rsid w:val="000921D7"/>
    <w:rsid w:val="00092C12"/>
    <w:rsid w:val="00092D11"/>
    <w:rsid w:val="00092E12"/>
    <w:rsid w:val="0009308C"/>
    <w:rsid w:val="0009349F"/>
    <w:rsid w:val="000934B6"/>
    <w:rsid w:val="00093513"/>
    <w:rsid w:val="0009363E"/>
    <w:rsid w:val="0009374D"/>
    <w:rsid w:val="00093B18"/>
    <w:rsid w:val="00093C6F"/>
    <w:rsid w:val="00093FF8"/>
    <w:rsid w:val="00094098"/>
    <w:rsid w:val="00094131"/>
    <w:rsid w:val="0009425C"/>
    <w:rsid w:val="00094551"/>
    <w:rsid w:val="0009480F"/>
    <w:rsid w:val="000948F4"/>
    <w:rsid w:val="00094BCD"/>
    <w:rsid w:val="00094E2C"/>
    <w:rsid w:val="00094F30"/>
    <w:rsid w:val="00094F6E"/>
    <w:rsid w:val="00095455"/>
    <w:rsid w:val="00095EEC"/>
    <w:rsid w:val="000963D6"/>
    <w:rsid w:val="00096C29"/>
    <w:rsid w:val="00096CB6"/>
    <w:rsid w:val="000971B1"/>
    <w:rsid w:val="000975C2"/>
    <w:rsid w:val="000976A3"/>
    <w:rsid w:val="0009776C"/>
    <w:rsid w:val="000A0051"/>
    <w:rsid w:val="000A015C"/>
    <w:rsid w:val="000A0281"/>
    <w:rsid w:val="000A04AF"/>
    <w:rsid w:val="000A079E"/>
    <w:rsid w:val="000A0A14"/>
    <w:rsid w:val="000A0AF5"/>
    <w:rsid w:val="000A0E81"/>
    <w:rsid w:val="000A0F46"/>
    <w:rsid w:val="000A1159"/>
    <w:rsid w:val="000A11C1"/>
    <w:rsid w:val="000A14B0"/>
    <w:rsid w:val="000A14C8"/>
    <w:rsid w:val="000A16F1"/>
    <w:rsid w:val="000A1801"/>
    <w:rsid w:val="000A1E62"/>
    <w:rsid w:val="000A1FF9"/>
    <w:rsid w:val="000A2B5D"/>
    <w:rsid w:val="000A2D34"/>
    <w:rsid w:val="000A2D48"/>
    <w:rsid w:val="000A301D"/>
    <w:rsid w:val="000A410D"/>
    <w:rsid w:val="000A44F0"/>
    <w:rsid w:val="000A4663"/>
    <w:rsid w:val="000A4692"/>
    <w:rsid w:val="000A48A7"/>
    <w:rsid w:val="000A4AC7"/>
    <w:rsid w:val="000A4E18"/>
    <w:rsid w:val="000A5048"/>
    <w:rsid w:val="000A50E5"/>
    <w:rsid w:val="000A514F"/>
    <w:rsid w:val="000A51A7"/>
    <w:rsid w:val="000A5306"/>
    <w:rsid w:val="000A548A"/>
    <w:rsid w:val="000A54D8"/>
    <w:rsid w:val="000A5903"/>
    <w:rsid w:val="000A5BE6"/>
    <w:rsid w:val="000A5CE8"/>
    <w:rsid w:val="000A5D15"/>
    <w:rsid w:val="000A5F8E"/>
    <w:rsid w:val="000A61CB"/>
    <w:rsid w:val="000A61D3"/>
    <w:rsid w:val="000A622F"/>
    <w:rsid w:val="000A62D9"/>
    <w:rsid w:val="000A6423"/>
    <w:rsid w:val="000A6947"/>
    <w:rsid w:val="000A6A4C"/>
    <w:rsid w:val="000A6AF3"/>
    <w:rsid w:val="000A6AFF"/>
    <w:rsid w:val="000A6CBD"/>
    <w:rsid w:val="000A6E07"/>
    <w:rsid w:val="000A71BC"/>
    <w:rsid w:val="000A723C"/>
    <w:rsid w:val="000A7344"/>
    <w:rsid w:val="000A79CB"/>
    <w:rsid w:val="000A7A35"/>
    <w:rsid w:val="000A7C59"/>
    <w:rsid w:val="000B014B"/>
    <w:rsid w:val="000B0505"/>
    <w:rsid w:val="000B0674"/>
    <w:rsid w:val="000B0C3E"/>
    <w:rsid w:val="000B125B"/>
    <w:rsid w:val="000B182E"/>
    <w:rsid w:val="000B19BC"/>
    <w:rsid w:val="000B1C01"/>
    <w:rsid w:val="000B1CBC"/>
    <w:rsid w:val="000B1D05"/>
    <w:rsid w:val="000B1F34"/>
    <w:rsid w:val="000B1F70"/>
    <w:rsid w:val="000B2A72"/>
    <w:rsid w:val="000B2ADA"/>
    <w:rsid w:val="000B2DD5"/>
    <w:rsid w:val="000B32DA"/>
    <w:rsid w:val="000B3732"/>
    <w:rsid w:val="000B4238"/>
    <w:rsid w:val="000B4426"/>
    <w:rsid w:val="000B4521"/>
    <w:rsid w:val="000B45BE"/>
    <w:rsid w:val="000B4607"/>
    <w:rsid w:val="000B4687"/>
    <w:rsid w:val="000B4818"/>
    <w:rsid w:val="000B4842"/>
    <w:rsid w:val="000B487C"/>
    <w:rsid w:val="000B48A5"/>
    <w:rsid w:val="000B4BB2"/>
    <w:rsid w:val="000B4BD8"/>
    <w:rsid w:val="000B4C86"/>
    <w:rsid w:val="000B5034"/>
    <w:rsid w:val="000B55D8"/>
    <w:rsid w:val="000B5615"/>
    <w:rsid w:val="000B5A32"/>
    <w:rsid w:val="000B5C08"/>
    <w:rsid w:val="000B5EF2"/>
    <w:rsid w:val="000B5FAF"/>
    <w:rsid w:val="000B6279"/>
    <w:rsid w:val="000B6871"/>
    <w:rsid w:val="000B6950"/>
    <w:rsid w:val="000B6A2B"/>
    <w:rsid w:val="000B6A3A"/>
    <w:rsid w:val="000B6AD8"/>
    <w:rsid w:val="000B6E20"/>
    <w:rsid w:val="000B7094"/>
    <w:rsid w:val="000B7242"/>
    <w:rsid w:val="000B7279"/>
    <w:rsid w:val="000B7B50"/>
    <w:rsid w:val="000C0373"/>
    <w:rsid w:val="000C04C2"/>
    <w:rsid w:val="000C050D"/>
    <w:rsid w:val="000C082C"/>
    <w:rsid w:val="000C0893"/>
    <w:rsid w:val="000C0A38"/>
    <w:rsid w:val="000C0AB6"/>
    <w:rsid w:val="000C0D75"/>
    <w:rsid w:val="000C17B9"/>
    <w:rsid w:val="000C194D"/>
    <w:rsid w:val="000C1976"/>
    <w:rsid w:val="000C20AE"/>
    <w:rsid w:val="000C23CB"/>
    <w:rsid w:val="000C2AEC"/>
    <w:rsid w:val="000C3176"/>
    <w:rsid w:val="000C32F0"/>
    <w:rsid w:val="000C34A3"/>
    <w:rsid w:val="000C3589"/>
    <w:rsid w:val="000C364D"/>
    <w:rsid w:val="000C382B"/>
    <w:rsid w:val="000C447B"/>
    <w:rsid w:val="000C46BF"/>
    <w:rsid w:val="000C5A1D"/>
    <w:rsid w:val="000C5C18"/>
    <w:rsid w:val="000C5EAE"/>
    <w:rsid w:val="000C61AA"/>
    <w:rsid w:val="000C6420"/>
    <w:rsid w:val="000C644C"/>
    <w:rsid w:val="000C6733"/>
    <w:rsid w:val="000C6F26"/>
    <w:rsid w:val="000C70AE"/>
    <w:rsid w:val="000C7480"/>
    <w:rsid w:val="000C7706"/>
    <w:rsid w:val="000C7DA8"/>
    <w:rsid w:val="000D00F0"/>
    <w:rsid w:val="000D05C0"/>
    <w:rsid w:val="000D0B52"/>
    <w:rsid w:val="000D0BF9"/>
    <w:rsid w:val="000D0FED"/>
    <w:rsid w:val="000D108C"/>
    <w:rsid w:val="000D18C6"/>
    <w:rsid w:val="000D1BE4"/>
    <w:rsid w:val="000D1CBA"/>
    <w:rsid w:val="000D250E"/>
    <w:rsid w:val="000D3800"/>
    <w:rsid w:val="000D39CC"/>
    <w:rsid w:val="000D39F0"/>
    <w:rsid w:val="000D3E21"/>
    <w:rsid w:val="000D3F4A"/>
    <w:rsid w:val="000D4009"/>
    <w:rsid w:val="000D41D8"/>
    <w:rsid w:val="000D437B"/>
    <w:rsid w:val="000D43BD"/>
    <w:rsid w:val="000D4436"/>
    <w:rsid w:val="000D4551"/>
    <w:rsid w:val="000D4DFE"/>
    <w:rsid w:val="000D4E85"/>
    <w:rsid w:val="000D5624"/>
    <w:rsid w:val="000D57A2"/>
    <w:rsid w:val="000D5843"/>
    <w:rsid w:val="000D604F"/>
    <w:rsid w:val="000D6349"/>
    <w:rsid w:val="000D643F"/>
    <w:rsid w:val="000D65AA"/>
    <w:rsid w:val="000D6B45"/>
    <w:rsid w:val="000D6CC8"/>
    <w:rsid w:val="000D71CE"/>
    <w:rsid w:val="000D73A9"/>
    <w:rsid w:val="000D7610"/>
    <w:rsid w:val="000D7799"/>
    <w:rsid w:val="000D7B63"/>
    <w:rsid w:val="000D7C7E"/>
    <w:rsid w:val="000E01F1"/>
    <w:rsid w:val="000E074F"/>
    <w:rsid w:val="000E08F7"/>
    <w:rsid w:val="000E0F67"/>
    <w:rsid w:val="000E1583"/>
    <w:rsid w:val="000E175C"/>
    <w:rsid w:val="000E1D59"/>
    <w:rsid w:val="000E21FB"/>
    <w:rsid w:val="000E23BF"/>
    <w:rsid w:val="000E23CD"/>
    <w:rsid w:val="000E2B20"/>
    <w:rsid w:val="000E2D8E"/>
    <w:rsid w:val="000E2EFE"/>
    <w:rsid w:val="000E305F"/>
    <w:rsid w:val="000E30D2"/>
    <w:rsid w:val="000E33BC"/>
    <w:rsid w:val="000E3618"/>
    <w:rsid w:val="000E3FD7"/>
    <w:rsid w:val="000E4164"/>
    <w:rsid w:val="000E41EF"/>
    <w:rsid w:val="000E422F"/>
    <w:rsid w:val="000E4BA6"/>
    <w:rsid w:val="000E4D65"/>
    <w:rsid w:val="000E4DED"/>
    <w:rsid w:val="000E522A"/>
    <w:rsid w:val="000E54E2"/>
    <w:rsid w:val="000E55FE"/>
    <w:rsid w:val="000E5915"/>
    <w:rsid w:val="000E5983"/>
    <w:rsid w:val="000E5F3E"/>
    <w:rsid w:val="000E6510"/>
    <w:rsid w:val="000E6B31"/>
    <w:rsid w:val="000E6EBE"/>
    <w:rsid w:val="000E6FA4"/>
    <w:rsid w:val="000E71C3"/>
    <w:rsid w:val="000E7421"/>
    <w:rsid w:val="000E783B"/>
    <w:rsid w:val="000E79E9"/>
    <w:rsid w:val="000E7A26"/>
    <w:rsid w:val="000E7DB2"/>
    <w:rsid w:val="000E7DC9"/>
    <w:rsid w:val="000E7E4D"/>
    <w:rsid w:val="000F0494"/>
    <w:rsid w:val="000F078F"/>
    <w:rsid w:val="000F0A92"/>
    <w:rsid w:val="000F0ACC"/>
    <w:rsid w:val="000F0C74"/>
    <w:rsid w:val="000F0D85"/>
    <w:rsid w:val="000F0E04"/>
    <w:rsid w:val="000F1990"/>
    <w:rsid w:val="000F1A2E"/>
    <w:rsid w:val="000F1AA1"/>
    <w:rsid w:val="000F1B41"/>
    <w:rsid w:val="000F1D59"/>
    <w:rsid w:val="000F1DAF"/>
    <w:rsid w:val="000F1F86"/>
    <w:rsid w:val="000F2355"/>
    <w:rsid w:val="000F24FC"/>
    <w:rsid w:val="000F2501"/>
    <w:rsid w:val="000F2700"/>
    <w:rsid w:val="000F2E5C"/>
    <w:rsid w:val="000F321E"/>
    <w:rsid w:val="000F3299"/>
    <w:rsid w:val="000F37E6"/>
    <w:rsid w:val="000F396C"/>
    <w:rsid w:val="000F3E14"/>
    <w:rsid w:val="000F4436"/>
    <w:rsid w:val="000F4461"/>
    <w:rsid w:val="000F4602"/>
    <w:rsid w:val="000F46C7"/>
    <w:rsid w:val="000F478F"/>
    <w:rsid w:val="000F4C4D"/>
    <w:rsid w:val="000F515C"/>
    <w:rsid w:val="000F5252"/>
    <w:rsid w:val="000F525F"/>
    <w:rsid w:val="000F54B5"/>
    <w:rsid w:val="000F54CC"/>
    <w:rsid w:val="000F5559"/>
    <w:rsid w:val="000F5AA0"/>
    <w:rsid w:val="000F5BEA"/>
    <w:rsid w:val="000F5C08"/>
    <w:rsid w:val="000F5FF6"/>
    <w:rsid w:val="000F6599"/>
    <w:rsid w:val="000F65DC"/>
    <w:rsid w:val="000F667D"/>
    <w:rsid w:val="000F66C9"/>
    <w:rsid w:val="000F6B4A"/>
    <w:rsid w:val="000F6C5D"/>
    <w:rsid w:val="000F7088"/>
    <w:rsid w:val="000F77F5"/>
    <w:rsid w:val="001001F9"/>
    <w:rsid w:val="0010025E"/>
    <w:rsid w:val="00100421"/>
    <w:rsid w:val="00100670"/>
    <w:rsid w:val="00100778"/>
    <w:rsid w:val="001008ED"/>
    <w:rsid w:val="00100A9C"/>
    <w:rsid w:val="00100DE6"/>
    <w:rsid w:val="001011D3"/>
    <w:rsid w:val="001011FC"/>
    <w:rsid w:val="00101C7D"/>
    <w:rsid w:val="00101CC9"/>
    <w:rsid w:val="00102199"/>
    <w:rsid w:val="001022E0"/>
    <w:rsid w:val="00102309"/>
    <w:rsid w:val="0010242C"/>
    <w:rsid w:val="001025D9"/>
    <w:rsid w:val="00102691"/>
    <w:rsid w:val="0010271F"/>
    <w:rsid w:val="00102C0C"/>
    <w:rsid w:val="00102F42"/>
    <w:rsid w:val="001030FE"/>
    <w:rsid w:val="001032E5"/>
    <w:rsid w:val="001034C1"/>
    <w:rsid w:val="00103738"/>
    <w:rsid w:val="001037AE"/>
    <w:rsid w:val="00103867"/>
    <w:rsid w:val="00103A66"/>
    <w:rsid w:val="00103CFA"/>
    <w:rsid w:val="00103ECF"/>
    <w:rsid w:val="00103F1D"/>
    <w:rsid w:val="001047EA"/>
    <w:rsid w:val="00104E5D"/>
    <w:rsid w:val="001055B3"/>
    <w:rsid w:val="001056DC"/>
    <w:rsid w:val="0010586E"/>
    <w:rsid w:val="00105964"/>
    <w:rsid w:val="00105D17"/>
    <w:rsid w:val="00106102"/>
    <w:rsid w:val="001061D0"/>
    <w:rsid w:val="0010680A"/>
    <w:rsid w:val="00106D14"/>
    <w:rsid w:val="00106D2C"/>
    <w:rsid w:val="00106E5E"/>
    <w:rsid w:val="00107227"/>
    <w:rsid w:val="001072B8"/>
    <w:rsid w:val="00107840"/>
    <w:rsid w:val="00107A8D"/>
    <w:rsid w:val="00107FD6"/>
    <w:rsid w:val="0011047F"/>
    <w:rsid w:val="001104D1"/>
    <w:rsid w:val="00110518"/>
    <w:rsid w:val="0011072E"/>
    <w:rsid w:val="0011075E"/>
    <w:rsid w:val="00110CA1"/>
    <w:rsid w:val="00110DE1"/>
    <w:rsid w:val="00111047"/>
    <w:rsid w:val="00111500"/>
    <w:rsid w:val="001118E9"/>
    <w:rsid w:val="00111D4C"/>
    <w:rsid w:val="00112147"/>
    <w:rsid w:val="00112AA4"/>
    <w:rsid w:val="00112C43"/>
    <w:rsid w:val="00112D6D"/>
    <w:rsid w:val="00112EE6"/>
    <w:rsid w:val="00112F06"/>
    <w:rsid w:val="001131C4"/>
    <w:rsid w:val="00113220"/>
    <w:rsid w:val="00113239"/>
    <w:rsid w:val="001132DB"/>
    <w:rsid w:val="00113371"/>
    <w:rsid w:val="001136C1"/>
    <w:rsid w:val="001138CF"/>
    <w:rsid w:val="001141E3"/>
    <w:rsid w:val="00114592"/>
    <w:rsid w:val="001147A9"/>
    <w:rsid w:val="00114F35"/>
    <w:rsid w:val="00114F4C"/>
    <w:rsid w:val="00114F84"/>
    <w:rsid w:val="00115149"/>
    <w:rsid w:val="001154DD"/>
    <w:rsid w:val="001155AB"/>
    <w:rsid w:val="00115618"/>
    <w:rsid w:val="00115873"/>
    <w:rsid w:val="00115974"/>
    <w:rsid w:val="00115A1F"/>
    <w:rsid w:val="00115E2D"/>
    <w:rsid w:val="00116119"/>
    <w:rsid w:val="00116271"/>
    <w:rsid w:val="0011685A"/>
    <w:rsid w:val="001170FC"/>
    <w:rsid w:val="00117171"/>
    <w:rsid w:val="00117361"/>
    <w:rsid w:val="001176CF"/>
    <w:rsid w:val="00117887"/>
    <w:rsid w:val="00117B41"/>
    <w:rsid w:val="00117BF8"/>
    <w:rsid w:val="00117C55"/>
    <w:rsid w:val="00117D43"/>
    <w:rsid w:val="00117F7E"/>
    <w:rsid w:val="00120255"/>
    <w:rsid w:val="001202EF"/>
    <w:rsid w:val="00120A33"/>
    <w:rsid w:val="00120A5F"/>
    <w:rsid w:val="00120AC6"/>
    <w:rsid w:val="00120BE3"/>
    <w:rsid w:val="00121126"/>
    <w:rsid w:val="001214B0"/>
    <w:rsid w:val="00121877"/>
    <w:rsid w:val="00121A8B"/>
    <w:rsid w:val="00122084"/>
    <w:rsid w:val="00122091"/>
    <w:rsid w:val="0012233B"/>
    <w:rsid w:val="00122434"/>
    <w:rsid w:val="0012248D"/>
    <w:rsid w:val="001227D9"/>
    <w:rsid w:val="00122A7A"/>
    <w:rsid w:val="00122F68"/>
    <w:rsid w:val="0012347B"/>
    <w:rsid w:val="001234C2"/>
    <w:rsid w:val="001236D3"/>
    <w:rsid w:val="001238DD"/>
    <w:rsid w:val="00123CEC"/>
    <w:rsid w:val="00124025"/>
    <w:rsid w:val="001246D3"/>
    <w:rsid w:val="0012479F"/>
    <w:rsid w:val="001248F8"/>
    <w:rsid w:val="00124A07"/>
    <w:rsid w:val="0012504F"/>
    <w:rsid w:val="0012517B"/>
    <w:rsid w:val="001251B3"/>
    <w:rsid w:val="00125215"/>
    <w:rsid w:val="001253EE"/>
    <w:rsid w:val="00125824"/>
    <w:rsid w:val="0012637A"/>
    <w:rsid w:val="00126AB0"/>
    <w:rsid w:val="00126D87"/>
    <w:rsid w:val="00126E2A"/>
    <w:rsid w:val="0012736C"/>
    <w:rsid w:val="001273BC"/>
    <w:rsid w:val="00127441"/>
    <w:rsid w:val="00127D56"/>
    <w:rsid w:val="00130137"/>
    <w:rsid w:val="00130540"/>
    <w:rsid w:val="001305D2"/>
    <w:rsid w:val="00130729"/>
    <w:rsid w:val="001309D0"/>
    <w:rsid w:val="00130AC9"/>
    <w:rsid w:val="00131092"/>
    <w:rsid w:val="00131446"/>
    <w:rsid w:val="00131875"/>
    <w:rsid w:val="00131BE7"/>
    <w:rsid w:val="00131DBC"/>
    <w:rsid w:val="001320A0"/>
    <w:rsid w:val="0013240B"/>
    <w:rsid w:val="0013267B"/>
    <w:rsid w:val="0013272A"/>
    <w:rsid w:val="00132AF8"/>
    <w:rsid w:val="00132C52"/>
    <w:rsid w:val="00133580"/>
    <w:rsid w:val="001335EB"/>
    <w:rsid w:val="00133EC1"/>
    <w:rsid w:val="001341C6"/>
    <w:rsid w:val="0013420C"/>
    <w:rsid w:val="001352A4"/>
    <w:rsid w:val="0013531A"/>
    <w:rsid w:val="001356A6"/>
    <w:rsid w:val="00135713"/>
    <w:rsid w:val="00135735"/>
    <w:rsid w:val="0013580B"/>
    <w:rsid w:val="00135A92"/>
    <w:rsid w:val="00135AAA"/>
    <w:rsid w:val="001361FF"/>
    <w:rsid w:val="0013626E"/>
    <w:rsid w:val="001364A8"/>
    <w:rsid w:val="001364C5"/>
    <w:rsid w:val="00136570"/>
    <w:rsid w:val="00136624"/>
    <w:rsid w:val="00136777"/>
    <w:rsid w:val="00136A6D"/>
    <w:rsid w:val="00136DC3"/>
    <w:rsid w:val="00136F47"/>
    <w:rsid w:val="00137169"/>
    <w:rsid w:val="0013738B"/>
    <w:rsid w:val="00137581"/>
    <w:rsid w:val="0013782F"/>
    <w:rsid w:val="00137977"/>
    <w:rsid w:val="0014037F"/>
    <w:rsid w:val="0014087A"/>
    <w:rsid w:val="00140A35"/>
    <w:rsid w:val="00141222"/>
    <w:rsid w:val="00141542"/>
    <w:rsid w:val="001418F4"/>
    <w:rsid w:val="0014190A"/>
    <w:rsid w:val="00141C5C"/>
    <w:rsid w:val="00141E9A"/>
    <w:rsid w:val="0014228B"/>
    <w:rsid w:val="00142528"/>
    <w:rsid w:val="00142651"/>
    <w:rsid w:val="00142CF6"/>
    <w:rsid w:val="00142DFE"/>
    <w:rsid w:val="00142EBE"/>
    <w:rsid w:val="00142FAB"/>
    <w:rsid w:val="00142FDC"/>
    <w:rsid w:val="0014321A"/>
    <w:rsid w:val="0014370C"/>
    <w:rsid w:val="00143ABE"/>
    <w:rsid w:val="0014409D"/>
    <w:rsid w:val="00144376"/>
    <w:rsid w:val="001446EF"/>
    <w:rsid w:val="00144A21"/>
    <w:rsid w:val="00144CA7"/>
    <w:rsid w:val="00144DB6"/>
    <w:rsid w:val="001452D9"/>
    <w:rsid w:val="001453A3"/>
    <w:rsid w:val="001455D0"/>
    <w:rsid w:val="00145658"/>
    <w:rsid w:val="00145751"/>
    <w:rsid w:val="0014582E"/>
    <w:rsid w:val="00145B4B"/>
    <w:rsid w:val="00145D6B"/>
    <w:rsid w:val="00146116"/>
    <w:rsid w:val="00146181"/>
    <w:rsid w:val="0014635A"/>
    <w:rsid w:val="001464BD"/>
    <w:rsid w:val="001465C4"/>
    <w:rsid w:val="00146827"/>
    <w:rsid w:val="00146E8B"/>
    <w:rsid w:val="0014712E"/>
    <w:rsid w:val="001472C4"/>
    <w:rsid w:val="00147316"/>
    <w:rsid w:val="001474D1"/>
    <w:rsid w:val="0014768E"/>
    <w:rsid w:val="00147867"/>
    <w:rsid w:val="00147907"/>
    <w:rsid w:val="00147E6F"/>
    <w:rsid w:val="00150458"/>
    <w:rsid w:val="0015050B"/>
    <w:rsid w:val="00150863"/>
    <w:rsid w:val="00150D8F"/>
    <w:rsid w:val="001512AD"/>
    <w:rsid w:val="001520A2"/>
    <w:rsid w:val="00152E0B"/>
    <w:rsid w:val="00152EFD"/>
    <w:rsid w:val="00153088"/>
    <w:rsid w:val="00153113"/>
    <w:rsid w:val="00153202"/>
    <w:rsid w:val="00153905"/>
    <w:rsid w:val="00153A30"/>
    <w:rsid w:val="00153C89"/>
    <w:rsid w:val="00154057"/>
    <w:rsid w:val="00154120"/>
    <w:rsid w:val="0015413D"/>
    <w:rsid w:val="00154784"/>
    <w:rsid w:val="00154CB2"/>
    <w:rsid w:val="00154E86"/>
    <w:rsid w:val="00154FE4"/>
    <w:rsid w:val="00155176"/>
    <w:rsid w:val="00155463"/>
    <w:rsid w:val="001554DA"/>
    <w:rsid w:val="00155576"/>
    <w:rsid w:val="001555CC"/>
    <w:rsid w:val="00155995"/>
    <w:rsid w:val="00155D2B"/>
    <w:rsid w:val="001568C8"/>
    <w:rsid w:val="00156B61"/>
    <w:rsid w:val="00156CD6"/>
    <w:rsid w:val="00156F7D"/>
    <w:rsid w:val="00156F96"/>
    <w:rsid w:val="00157209"/>
    <w:rsid w:val="0015753C"/>
    <w:rsid w:val="001575DF"/>
    <w:rsid w:val="0016000B"/>
    <w:rsid w:val="001603B3"/>
    <w:rsid w:val="00160475"/>
    <w:rsid w:val="001606F6"/>
    <w:rsid w:val="001607EB"/>
    <w:rsid w:val="001608CA"/>
    <w:rsid w:val="00160A30"/>
    <w:rsid w:val="00160CA2"/>
    <w:rsid w:val="00160DEC"/>
    <w:rsid w:val="00161006"/>
    <w:rsid w:val="00161023"/>
    <w:rsid w:val="001611E0"/>
    <w:rsid w:val="0016133E"/>
    <w:rsid w:val="00161408"/>
    <w:rsid w:val="001614AB"/>
    <w:rsid w:val="00161C3B"/>
    <w:rsid w:val="00161DFA"/>
    <w:rsid w:val="001620E4"/>
    <w:rsid w:val="001623C9"/>
    <w:rsid w:val="001624A9"/>
    <w:rsid w:val="001624DA"/>
    <w:rsid w:val="00162665"/>
    <w:rsid w:val="001629CA"/>
    <w:rsid w:val="00162C99"/>
    <w:rsid w:val="00163584"/>
    <w:rsid w:val="001635BD"/>
    <w:rsid w:val="001635EC"/>
    <w:rsid w:val="001639C5"/>
    <w:rsid w:val="00163BC7"/>
    <w:rsid w:val="00164125"/>
    <w:rsid w:val="001641A4"/>
    <w:rsid w:val="001642DA"/>
    <w:rsid w:val="00165A20"/>
    <w:rsid w:val="00165B4D"/>
    <w:rsid w:val="00166C33"/>
    <w:rsid w:val="00166E84"/>
    <w:rsid w:val="001676D9"/>
    <w:rsid w:val="001679EE"/>
    <w:rsid w:val="00167AF6"/>
    <w:rsid w:val="0017014E"/>
    <w:rsid w:val="0017018B"/>
    <w:rsid w:val="00170222"/>
    <w:rsid w:val="0017073C"/>
    <w:rsid w:val="00170B45"/>
    <w:rsid w:val="00170CAD"/>
    <w:rsid w:val="00170D00"/>
    <w:rsid w:val="00170E1F"/>
    <w:rsid w:val="00170E42"/>
    <w:rsid w:val="00170ECE"/>
    <w:rsid w:val="0017116F"/>
    <w:rsid w:val="001712C7"/>
    <w:rsid w:val="001714A0"/>
    <w:rsid w:val="0017156E"/>
    <w:rsid w:val="0017159C"/>
    <w:rsid w:val="00171644"/>
    <w:rsid w:val="00171707"/>
    <w:rsid w:val="00171857"/>
    <w:rsid w:val="0017189A"/>
    <w:rsid w:val="00171B07"/>
    <w:rsid w:val="00171BBA"/>
    <w:rsid w:val="00171D58"/>
    <w:rsid w:val="00171D6E"/>
    <w:rsid w:val="00171E0F"/>
    <w:rsid w:val="00172022"/>
    <w:rsid w:val="00172177"/>
    <w:rsid w:val="001722A1"/>
    <w:rsid w:val="00172592"/>
    <w:rsid w:val="001726B0"/>
    <w:rsid w:val="00172D60"/>
    <w:rsid w:val="00172EE9"/>
    <w:rsid w:val="00172FEF"/>
    <w:rsid w:val="0017375A"/>
    <w:rsid w:val="00173D9D"/>
    <w:rsid w:val="00173ED7"/>
    <w:rsid w:val="00173FEA"/>
    <w:rsid w:val="00174189"/>
    <w:rsid w:val="00174202"/>
    <w:rsid w:val="001742B4"/>
    <w:rsid w:val="00174495"/>
    <w:rsid w:val="001744B3"/>
    <w:rsid w:val="00174AF9"/>
    <w:rsid w:val="00174DC3"/>
    <w:rsid w:val="00175440"/>
    <w:rsid w:val="0017556A"/>
    <w:rsid w:val="001755C6"/>
    <w:rsid w:val="001757F5"/>
    <w:rsid w:val="001763E9"/>
    <w:rsid w:val="001767EF"/>
    <w:rsid w:val="00176C60"/>
    <w:rsid w:val="0017708D"/>
    <w:rsid w:val="00177266"/>
    <w:rsid w:val="001775AA"/>
    <w:rsid w:val="0017770B"/>
    <w:rsid w:val="0017792E"/>
    <w:rsid w:val="00177E46"/>
    <w:rsid w:val="001804E0"/>
    <w:rsid w:val="00180710"/>
    <w:rsid w:val="00180D2A"/>
    <w:rsid w:val="0018109B"/>
    <w:rsid w:val="001810DF"/>
    <w:rsid w:val="001811DE"/>
    <w:rsid w:val="001819DA"/>
    <w:rsid w:val="00181B94"/>
    <w:rsid w:val="00181E21"/>
    <w:rsid w:val="0018253C"/>
    <w:rsid w:val="001825EE"/>
    <w:rsid w:val="00182925"/>
    <w:rsid w:val="00182979"/>
    <w:rsid w:val="00182E2B"/>
    <w:rsid w:val="00182FC9"/>
    <w:rsid w:val="001833C4"/>
    <w:rsid w:val="00183440"/>
    <w:rsid w:val="001836D0"/>
    <w:rsid w:val="00183745"/>
    <w:rsid w:val="001839F0"/>
    <w:rsid w:val="00183DFE"/>
    <w:rsid w:val="00183E7C"/>
    <w:rsid w:val="0018423B"/>
    <w:rsid w:val="00184447"/>
    <w:rsid w:val="001845AA"/>
    <w:rsid w:val="00184BF4"/>
    <w:rsid w:val="00185349"/>
    <w:rsid w:val="00185748"/>
    <w:rsid w:val="00185B73"/>
    <w:rsid w:val="00185D37"/>
    <w:rsid w:val="0018687C"/>
    <w:rsid w:val="00186D2A"/>
    <w:rsid w:val="00186DC4"/>
    <w:rsid w:val="00186EC6"/>
    <w:rsid w:val="00187080"/>
    <w:rsid w:val="0018710A"/>
    <w:rsid w:val="0018712B"/>
    <w:rsid w:val="00187625"/>
    <w:rsid w:val="001877BF"/>
    <w:rsid w:val="001877FF"/>
    <w:rsid w:val="00187E4E"/>
    <w:rsid w:val="001902BE"/>
    <w:rsid w:val="00190461"/>
    <w:rsid w:val="0019061F"/>
    <w:rsid w:val="00190A49"/>
    <w:rsid w:val="00190BD7"/>
    <w:rsid w:val="00190E6C"/>
    <w:rsid w:val="001913F3"/>
    <w:rsid w:val="0019163A"/>
    <w:rsid w:val="00191E55"/>
    <w:rsid w:val="0019227F"/>
    <w:rsid w:val="001924B4"/>
    <w:rsid w:val="001924DC"/>
    <w:rsid w:val="00192698"/>
    <w:rsid w:val="001926BC"/>
    <w:rsid w:val="00193137"/>
    <w:rsid w:val="001931AF"/>
    <w:rsid w:val="0019331A"/>
    <w:rsid w:val="00193A01"/>
    <w:rsid w:val="00193AA9"/>
    <w:rsid w:val="00193B8F"/>
    <w:rsid w:val="00194511"/>
    <w:rsid w:val="001948B1"/>
    <w:rsid w:val="001948C6"/>
    <w:rsid w:val="00194AFF"/>
    <w:rsid w:val="00194FCB"/>
    <w:rsid w:val="00194FF1"/>
    <w:rsid w:val="001956D2"/>
    <w:rsid w:val="00195A07"/>
    <w:rsid w:val="00195C79"/>
    <w:rsid w:val="00195C7A"/>
    <w:rsid w:val="00195D2A"/>
    <w:rsid w:val="00195E41"/>
    <w:rsid w:val="00195EC3"/>
    <w:rsid w:val="00196B23"/>
    <w:rsid w:val="00196D73"/>
    <w:rsid w:val="00196E2F"/>
    <w:rsid w:val="00196EAA"/>
    <w:rsid w:val="001972B0"/>
    <w:rsid w:val="00197313"/>
    <w:rsid w:val="00197698"/>
    <w:rsid w:val="00197AA7"/>
    <w:rsid w:val="00197BEA"/>
    <w:rsid w:val="00197F04"/>
    <w:rsid w:val="001A001E"/>
    <w:rsid w:val="001A03DC"/>
    <w:rsid w:val="001A0A1E"/>
    <w:rsid w:val="001A0D32"/>
    <w:rsid w:val="001A0EAC"/>
    <w:rsid w:val="001A0EFE"/>
    <w:rsid w:val="001A1351"/>
    <w:rsid w:val="001A182A"/>
    <w:rsid w:val="001A1DBE"/>
    <w:rsid w:val="001A1EE3"/>
    <w:rsid w:val="001A1F56"/>
    <w:rsid w:val="001A1F5D"/>
    <w:rsid w:val="001A219F"/>
    <w:rsid w:val="001A21E3"/>
    <w:rsid w:val="001A2466"/>
    <w:rsid w:val="001A24A9"/>
    <w:rsid w:val="001A24E1"/>
    <w:rsid w:val="001A253A"/>
    <w:rsid w:val="001A2B00"/>
    <w:rsid w:val="001A2E22"/>
    <w:rsid w:val="001A3193"/>
    <w:rsid w:val="001A44A2"/>
    <w:rsid w:val="001A46E2"/>
    <w:rsid w:val="001A482B"/>
    <w:rsid w:val="001A48D8"/>
    <w:rsid w:val="001A4A41"/>
    <w:rsid w:val="001A4C84"/>
    <w:rsid w:val="001A4CD6"/>
    <w:rsid w:val="001A5067"/>
    <w:rsid w:val="001A50AD"/>
    <w:rsid w:val="001A5438"/>
    <w:rsid w:val="001A6315"/>
    <w:rsid w:val="001A63C7"/>
    <w:rsid w:val="001A690F"/>
    <w:rsid w:val="001A6971"/>
    <w:rsid w:val="001A6EC1"/>
    <w:rsid w:val="001A73B6"/>
    <w:rsid w:val="001A767B"/>
    <w:rsid w:val="001A7792"/>
    <w:rsid w:val="001A7D0A"/>
    <w:rsid w:val="001A7E70"/>
    <w:rsid w:val="001A7F30"/>
    <w:rsid w:val="001B0122"/>
    <w:rsid w:val="001B0524"/>
    <w:rsid w:val="001B067E"/>
    <w:rsid w:val="001B096D"/>
    <w:rsid w:val="001B1072"/>
    <w:rsid w:val="001B1357"/>
    <w:rsid w:val="001B137F"/>
    <w:rsid w:val="001B146B"/>
    <w:rsid w:val="001B1746"/>
    <w:rsid w:val="001B1903"/>
    <w:rsid w:val="001B1A98"/>
    <w:rsid w:val="001B1DCD"/>
    <w:rsid w:val="001B1EA9"/>
    <w:rsid w:val="001B222F"/>
    <w:rsid w:val="001B2AAE"/>
    <w:rsid w:val="001B2E61"/>
    <w:rsid w:val="001B33B6"/>
    <w:rsid w:val="001B347A"/>
    <w:rsid w:val="001B36C7"/>
    <w:rsid w:val="001B3CC0"/>
    <w:rsid w:val="001B40F6"/>
    <w:rsid w:val="001B40FF"/>
    <w:rsid w:val="001B418E"/>
    <w:rsid w:val="001B4278"/>
    <w:rsid w:val="001B4577"/>
    <w:rsid w:val="001B4C1B"/>
    <w:rsid w:val="001B4D18"/>
    <w:rsid w:val="001B52A6"/>
    <w:rsid w:val="001B536D"/>
    <w:rsid w:val="001B5963"/>
    <w:rsid w:val="001B5A64"/>
    <w:rsid w:val="001B5F2A"/>
    <w:rsid w:val="001B5FCB"/>
    <w:rsid w:val="001B60B2"/>
    <w:rsid w:val="001B61AE"/>
    <w:rsid w:val="001B67BB"/>
    <w:rsid w:val="001B6B63"/>
    <w:rsid w:val="001B6CC5"/>
    <w:rsid w:val="001B71B9"/>
    <w:rsid w:val="001B73BF"/>
    <w:rsid w:val="001C0112"/>
    <w:rsid w:val="001C024E"/>
    <w:rsid w:val="001C0709"/>
    <w:rsid w:val="001C087C"/>
    <w:rsid w:val="001C0D26"/>
    <w:rsid w:val="001C14A9"/>
    <w:rsid w:val="001C22F0"/>
    <w:rsid w:val="001C27BA"/>
    <w:rsid w:val="001C27F9"/>
    <w:rsid w:val="001C31AA"/>
    <w:rsid w:val="001C3733"/>
    <w:rsid w:val="001C383D"/>
    <w:rsid w:val="001C3C08"/>
    <w:rsid w:val="001C400D"/>
    <w:rsid w:val="001C46F4"/>
    <w:rsid w:val="001C4886"/>
    <w:rsid w:val="001C4E9D"/>
    <w:rsid w:val="001C4FC3"/>
    <w:rsid w:val="001C5057"/>
    <w:rsid w:val="001C5253"/>
    <w:rsid w:val="001C5473"/>
    <w:rsid w:val="001C59DA"/>
    <w:rsid w:val="001C5A3D"/>
    <w:rsid w:val="001C5BA6"/>
    <w:rsid w:val="001C5EBE"/>
    <w:rsid w:val="001C684D"/>
    <w:rsid w:val="001C69C2"/>
    <w:rsid w:val="001C69E4"/>
    <w:rsid w:val="001C6ACB"/>
    <w:rsid w:val="001C6B2B"/>
    <w:rsid w:val="001C6F2A"/>
    <w:rsid w:val="001C718B"/>
    <w:rsid w:val="001C7D92"/>
    <w:rsid w:val="001C7DB5"/>
    <w:rsid w:val="001C7EB2"/>
    <w:rsid w:val="001D028B"/>
    <w:rsid w:val="001D03DE"/>
    <w:rsid w:val="001D0D09"/>
    <w:rsid w:val="001D0D0F"/>
    <w:rsid w:val="001D0D95"/>
    <w:rsid w:val="001D11B2"/>
    <w:rsid w:val="001D13C7"/>
    <w:rsid w:val="001D13F1"/>
    <w:rsid w:val="001D186A"/>
    <w:rsid w:val="001D1A53"/>
    <w:rsid w:val="001D1C35"/>
    <w:rsid w:val="001D1C5A"/>
    <w:rsid w:val="001D1CF4"/>
    <w:rsid w:val="001D1E33"/>
    <w:rsid w:val="001D218D"/>
    <w:rsid w:val="001D23E7"/>
    <w:rsid w:val="001D272A"/>
    <w:rsid w:val="001D28B6"/>
    <w:rsid w:val="001D2914"/>
    <w:rsid w:val="001D2E7A"/>
    <w:rsid w:val="001D2F4E"/>
    <w:rsid w:val="001D3443"/>
    <w:rsid w:val="001D3514"/>
    <w:rsid w:val="001D39D1"/>
    <w:rsid w:val="001D3AF8"/>
    <w:rsid w:val="001D3B5F"/>
    <w:rsid w:val="001D3FCE"/>
    <w:rsid w:val="001D412F"/>
    <w:rsid w:val="001D42FE"/>
    <w:rsid w:val="001D44D6"/>
    <w:rsid w:val="001D4511"/>
    <w:rsid w:val="001D502D"/>
    <w:rsid w:val="001D571D"/>
    <w:rsid w:val="001D5855"/>
    <w:rsid w:val="001D5A8F"/>
    <w:rsid w:val="001D5BF8"/>
    <w:rsid w:val="001D5C04"/>
    <w:rsid w:val="001D5FBC"/>
    <w:rsid w:val="001D6167"/>
    <w:rsid w:val="001D625C"/>
    <w:rsid w:val="001D64FB"/>
    <w:rsid w:val="001D67A7"/>
    <w:rsid w:val="001D7018"/>
    <w:rsid w:val="001D719C"/>
    <w:rsid w:val="001D7328"/>
    <w:rsid w:val="001D738E"/>
    <w:rsid w:val="001D73E1"/>
    <w:rsid w:val="001D7518"/>
    <w:rsid w:val="001D77CF"/>
    <w:rsid w:val="001D7A6F"/>
    <w:rsid w:val="001D7AB3"/>
    <w:rsid w:val="001E0110"/>
    <w:rsid w:val="001E07F2"/>
    <w:rsid w:val="001E0850"/>
    <w:rsid w:val="001E0E1A"/>
    <w:rsid w:val="001E0E87"/>
    <w:rsid w:val="001E11F4"/>
    <w:rsid w:val="001E1599"/>
    <w:rsid w:val="001E1721"/>
    <w:rsid w:val="001E1AE6"/>
    <w:rsid w:val="001E1C08"/>
    <w:rsid w:val="001E1E8E"/>
    <w:rsid w:val="001E1E93"/>
    <w:rsid w:val="001E2443"/>
    <w:rsid w:val="001E2610"/>
    <w:rsid w:val="001E26ED"/>
    <w:rsid w:val="001E354E"/>
    <w:rsid w:val="001E372C"/>
    <w:rsid w:val="001E3953"/>
    <w:rsid w:val="001E3957"/>
    <w:rsid w:val="001E3AB5"/>
    <w:rsid w:val="001E3DD7"/>
    <w:rsid w:val="001E3E76"/>
    <w:rsid w:val="001E3F2F"/>
    <w:rsid w:val="001E4052"/>
    <w:rsid w:val="001E4249"/>
    <w:rsid w:val="001E4AE4"/>
    <w:rsid w:val="001E4CB4"/>
    <w:rsid w:val="001E4CF9"/>
    <w:rsid w:val="001E4D85"/>
    <w:rsid w:val="001E4ED5"/>
    <w:rsid w:val="001E4F9F"/>
    <w:rsid w:val="001E5AC0"/>
    <w:rsid w:val="001E5D4E"/>
    <w:rsid w:val="001E5F05"/>
    <w:rsid w:val="001E5F1D"/>
    <w:rsid w:val="001E659C"/>
    <w:rsid w:val="001E6696"/>
    <w:rsid w:val="001E6A62"/>
    <w:rsid w:val="001E6AE7"/>
    <w:rsid w:val="001E6D31"/>
    <w:rsid w:val="001E73E8"/>
    <w:rsid w:val="001E7A5E"/>
    <w:rsid w:val="001E7F0B"/>
    <w:rsid w:val="001F0107"/>
    <w:rsid w:val="001F07D3"/>
    <w:rsid w:val="001F0C0B"/>
    <w:rsid w:val="001F0FC8"/>
    <w:rsid w:val="001F1A5D"/>
    <w:rsid w:val="001F1C2B"/>
    <w:rsid w:val="001F1D3A"/>
    <w:rsid w:val="001F1F1D"/>
    <w:rsid w:val="001F1FB3"/>
    <w:rsid w:val="001F227D"/>
    <w:rsid w:val="001F23D1"/>
    <w:rsid w:val="001F240F"/>
    <w:rsid w:val="001F2504"/>
    <w:rsid w:val="001F2560"/>
    <w:rsid w:val="001F25FB"/>
    <w:rsid w:val="001F28C9"/>
    <w:rsid w:val="001F2C58"/>
    <w:rsid w:val="001F2E30"/>
    <w:rsid w:val="001F2E4F"/>
    <w:rsid w:val="001F3082"/>
    <w:rsid w:val="001F30B9"/>
    <w:rsid w:val="001F3122"/>
    <w:rsid w:val="001F3289"/>
    <w:rsid w:val="001F34B0"/>
    <w:rsid w:val="001F361D"/>
    <w:rsid w:val="001F3850"/>
    <w:rsid w:val="001F3A0A"/>
    <w:rsid w:val="001F3F0A"/>
    <w:rsid w:val="001F3F95"/>
    <w:rsid w:val="001F40A1"/>
    <w:rsid w:val="001F4671"/>
    <w:rsid w:val="001F4771"/>
    <w:rsid w:val="001F48BD"/>
    <w:rsid w:val="001F4B80"/>
    <w:rsid w:val="001F4E1F"/>
    <w:rsid w:val="001F4F35"/>
    <w:rsid w:val="001F5538"/>
    <w:rsid w:val="001F5653"/>
    <w:rsid w:val="001F572B"/>
    <w:rsid w:val="001F5898"/>
    <w:rsid w:val="001F5F74"/>
    <w:rsid w:val="001F5FD1"/>
    <w:rsid w:val="001F67C1"/>
    <w:rsid w:val="001F692F"/>
    <w:rsid w:val="001F6B9C"/>
    <w:rsid w:val="001F6E3D"/>
    <w:rsid w:val="001F6EC2"/>
    <w:rsid w:val="001F71BF"/>
    <w:rsid w:val="001F71F8"/>
    <w:rsid w:val="001F737D"/>
    <w:rsid w:val="001F7684"/>
    <w:rsid w:val="001F775F"/>
    <w:rsid w:val="002001BD"/>
    <w:rsid w:val="0020024A"/>
    <w:rsid w:val="00200384"/>
    <w:rsid w:val="002004F1"/>
    <w:rsid w:val="00200633"/>
    <w:rsid w:val="002008D5"/>
    <w:rsid w:val="00200D02"/>
    <w:rsid w:val="00200EC3"/>
    <w:rsid w:val="00200FC8"/>
    <w:rsid w:val="0020102F"/>
    <w:rsid w:val="0020110F"/>
    <w:rsid w:val="00201391"/>
    <w:rsid w:val="002014EC"/>
    <w:rsid w:val="0020187C"/>
    <w:rsid w:val="00201907"/>
    <w:rsid w:val="00201AF0"/>
    <w:rsid w:val="00201C51"/>
    <w:rsid w:val="00202483"/>
    <w:rsid w:val="002024DE"/>
    <w:rsid w:val="002024E2"/>
    <w:rsid w:val="00202745"/>
    <w:rsid w:val="00202A8A"/>
    <w:rsid w:val="00202EA1"/>
    <w:rsid w:val="0020316D"/>
    <w:rsid w:val="0020318D"/>
    <w:rsid w:val="0020341E"/>
    <w:rsid w:val="0020345D"/>
    <w:rsid w:val="00203643"/>
    <w:rsid w:val="00203A53"/>
    <w:rsid w:val="00203A90"/>
    <w:rsid w:val="00203C20"/>
    <w:rsid w:val="00203CB3"/>
    <w:rsid w:val="00203E96"/>
    <w:rsid w:val="002040FA"/>
    <w:rsid w:val="0020419F"/>
    <w:rsid w:val="002045B2"/>
    <w:rsid w:val="00204987"/>
    <w:rsid w:val="002049D6"/>
    <w:rsid w:val="00204B08"/>
    <w:rsid w:val="00204C4D"/>
    <w:rsid w:val="00204EB8"/>
    <w:rsid w:val="00204FBC"/>
    <w:rsid w:val="002051C2"/>
    <w:rsid w:val="00205488"/>
    <w:rsid w:val="00205572"/>
    <w:rsid w:val="00205631"/>
    <w:rsid w:val="002056EB"/>
    <w:rsid w:val="0020570D"/>
    <w:rsid w:val="00205989"/>
    <w:rsid w:val="002059AA"/>
    <w:rsid w:val="00205C39"/>
    <w:rsid w:val="00205DA9"/>
    <w:rsid w:val="00205E59"/>
    <w:rsid w:val="002060A8"/>
    <w:rsid w:val="00206901"/>
    <w:rsid w:val="00206DF9"/>
    <w:rsid w:val="00206E1E"/>
    <w:rsid w:val="002070C3"/>
    <w:rsid w:val="002072ED"/>
    <w:rsid w:val="00207331"/>
    <w:rsid w:val="0020738B"/>
    <w:rsid w:val="002076DF"/>
    <w:rsid w:val="0020774C"/>
    <w:rsid w:val="00207E6C"/>
    <w:rsid w:val="00207FB5"/>
    <w:rsid w:val="00210122"/>
    <w:rsid w:val="0021036C"/>
    <w:rsid w:val="002105F8"/>
    <w:rsid w:val="00210EA9"/>
    <w:rsid w:val="002111DF"/>
    <w:rsid w:val="00211690"/>
    <w:rsid w:val="0021177C"/>
    <w:rsid w:val="002118A8"/>
    <w:rsid w:val="00211A11"/>
    <w:rsid w:val="00211E45"/>
    <w:rsid w:val="00211F22"/>
    <w:rsid w:val="00212291"/>
    <w:rsid w:val="0021231E"/>
    <w:rsid w:val="002124FC"/>
    <w:rsid w:val="00212843"/>
    <w:rsid w:val="00212D7C"/>
    <w:rsid w:val="00212EEB"/>
    <w:rsid w:val="00212F69"/>
    <w:rsid w:val="00212FE2"/>
    <w:rsid w:val="00213251"/>
    <w:rsid w:val="00213723"/>
    <w:rsid w:val="00213D99"/>
    <w:rsid w:val="00213FC3"/>
    <w:rsid w:val="00214264"/>
    <w:rsid w:val="0021451F"/>
    <w:rsid w:val="002145ED"/>
    <w:rsid w:val="0021466F"/>
    <w:rsid w:val="002146CC"/>
    <w:rsid w:val="00214E90"/>
    <w:rsid w:val="002151CA"/>
    <w:rsid w:val="002158CA"/>
    <w:rsid w:val="00215B8A"/>
    <w:rsid w:val="00216045"/>
    <w:rsid w:val="00216152"/>
    <w:rsid w:val="002161ED"/>
    <w:rsid w:val="0021624F"/>
    <w:rsid w:val="002162EA"/>
    <w:rsid w:val="0021677A"/>
    <w:rsid w:val="00216AE3"/>
    <w:rsid w:val="00216C6B"/>
    <w:rsid w:val="00217421"/>
    <w:rsid w:val="0021762A"/>
    <w:rsid w:val="00217C22"/>
    <w:rsid w:val="00217D9B"/>
    <w:rsid w:val="00217EF2"/>
    <w:rsid w:val="00217FFC"/>
    <w:rsid w:val="0022010E"/>
    <w:rsid w:val="002206A7"/>
    <w:rsid w:val="00220974"/>
    <w:rsid w:val="00220E9A"/>
    <w:rsid w:val="0022120F"/>
    <w:rsid w:val="002213A5"/>
    <w:rsid w:val="00221690"/>
    <w:rsid w:val="002228F9"/>
    <w:rsid w:val="00222C82"/>
    <w:rsid w:val="00222D78"/>
    <w:rsid w:val="00222DE6"/>
    <w:rsid w:val="00222F76"/>
    <w:rsid w:val="00223633"/>
    <w:rsid w:val="00223B2A"/>
    <w:rsid w:val="0022412F"/>
    <w:rsid w:val="002244E8"/>
    <w:rsid w:val="00224540"/>
    <w:rsid w:val="0022460D"/>
    <w:rsid w:val="00224B24"/>
    <w:rsid w:val="00224CF9"/>
    <w:rsid w:val="00224E5B"/>
    <w:rsid w:val="00224E63"/>
    <w:rsid w:val="00224F6F"/>
    <w:rsid w:val="00224FFC"/>
    <w:rsid w:val="0022532F"/>
    <w:rsid w:val="002254B0"/>
    <w:rsid w:val="00225576"/>
    <w:rsid w:val="00225C24"/>
    <w:rsid w:val="00225CD3"/>
    <w:rsid w:val="00225DE6"/>
    <w:rsid w:val="00225E45"/>
    <w:rsid w:val="002260EC"/>
    <w:rsid w:val="002262A3"/>
    <w:rsid w:val="00226468"/>
    <w:rsid w:val="002267B3"/>
    <w:rsid w:val="002269A2"/>
    <w:rsid w:val="00226BAD"/>
    <w:rsid w:val="00226F4C"/>
    <w:rsid w:val="00226FBA"/>
    <w:rsid w:val="00227004"/>
    <w:rsid w:val="00227142"/>
    <w:rsid w:val="0022750E"/>
    <w:rsid w:val="002275CC"/>
    <w:rsid w:val="00227600"/>
    <w:rsid w:val="00227C4A"/>
    <w:rsid w:val="002306CC"/>
    <w:rsid w:val="00230773"/>
    <w:rsid w:val="002307FB"/>
    <w:rsid w:val="0023159D"/>
    <w:rsid w:val="002316F0"/>
    <w:rsid w:val="00232B52"/>
    <w:rsid w:val="00232C37"/>
    <w:rsid w:val="00232ED7"/>
    <w:rsid w:val="00233293"/>
    <w:rsid w:val="00233450"/>
    <w:rsid w:val="00233556"/>
    <w:rsid w:val="00233765"/>
    <w:rsid w:val="00233C4E"/>
    <w:rsid w:val="00233CB4"/>
    <w:rsid w:val="00233CE4"/>
    <w:rsid w:val="002341A4"/>
    <w:rsid w:val="00234559"/>
    <w:rsid w:val="002345E1"/>
    <w:rsid w:val="002347AE"/>
    <w:rsid w:val="0023504D"/>
    <w:rsid w:val="00235203"/>
    <w:rsid w:val="002353C9"/>
    <w:rsid w:val="00235793"/>
    <w:rsid w:val="00235E9B"/>
    <w:rsid w:val="0023601F"/>
    <w:rsid w:val="0023613A"/>
    <w:rsid w:val="0023628A"/>
    <w:rsid w:val="002363FC"/>
    <w:rsid w:val="0023652E"/>
    <w:rsid w:val="0023670B"/>
    <w:rsid w:val="0023677F"/>
    <w:rsid w:val="00236E1E"/>
    <w:rsid w:val="00236E61"/>
    <w:rsid w:val="00237464"/>
    <w:rsid w:val="002374D9"/>
    <w:rsid w:val="00237C26"/>
    <w:rsid w:val="00237C47"/>
    <w:rsid w:val="00240187"/>
    <w:rsid w:val="0024031C"/>
    <w:rsid w:val="00240354"/>
    <w:rsid w:val="00240600"/>
    <w:rsid w:val="00240926"/>
    <w:rsid w:val="002410C0"/>
    <w:rsid w:val="002412CF"/>
    <w:rsid w:val="002416AA"/>
    <w:rsid w:val="0024170A"/>
    <w:rsid w:val="0024178B"/>
    <w:rsid w:val="00241C5C"/>
    <w:rsid w:val="00241D9E"/>
    <w:rsid w:val="00241F54"/>
    <w:rsid w:val="00241FB0"/>
    <w:rsid w:val="00242133"/>
    <w:rsid w:val="0024258C"/>
    <w:rsid w:val="00242775"/>
    <w:rsid w:val="00242C2C"/>
    <w:rsid w:val="0024350B"/>
    <w:rsid w:val="002435B2"/>
    <w:rsid w:val="002436A9"/>
    <w:rsid w:val="00243CD0"/>
    <w:rsid w:val="00243FE2"/>
    <w:rsid w:val="00244018"/>
    <w:rsid w:val="00244330"/>
    <w:rsid w:val="00244A4D"/>
    <w:rsid w:val="00244A59"/>
    <w:rsid w:val="00244A91"/>
    <w:rsid w:val="00244B28"/>
    <w:rsid w:val="00244C9A"/>
    <w:rsid w:val="00244E70"/>
    <w:rsid w:val="002450D9"/>
    <w:rsid w:val="0024516A"/>
    <w:rsid w:val="002451CD"/>
    <w:rsid w:val="00245438"/>
    <w:rsid w:val="002456B4"/>
    <w:rsid w:val="00245890"/>
    <w:rsid w:val="0024594E"/>
    <w:rsid w:val="002459DF"/>
    <w:rsid w:val="00245BC5"/>
    <w:rsid w:val="002462B7"/>
    <w:rsid w:val="0024633D"/>
    <w:rsid w:val="00246451"/>
    <w:rsid w:val="00246847"/>
    <w:rsid w:val="00246850"/>
    <w:rsid w:val="00246D02"/>
    <w:rsid w:val="00246DD2"/>
    <w:rsid w:val="00246FAF"/>
    <w:rsid w:val="002470E2"/>
    <w:rsid w:val="002473CF"/>
    <w:rsid w:val="00247518"/>
    <w:rsid w:val="00247A15"/>
    <w:rsid w:val="00247A25"/>
    <w:rsid w:val="00247E6F"/>
    <w:rsid w:val="00247F2F"/>
    <w:rsid w:val="00250621"/>
    <w:rsid w:val="00251091"/>
    <w:rsid w:val="00251314"/>
    <w:rsid w:val="00251BFD"/>
    <w:rsid w:val="00251C5B"/>
    <w:rsid w:val="00251CA0"/>
    <w:rsid w:val="00251F42"/>
    <w:rsid w:val="002521D9"/>
    <w:rsid w:val="00252585"/>
    <w:rsid w:val="00252775"/>
    <w:rsid w:val="002527D2"/>
    <w:rsid w:val="002529C7"/>
    <w:rsid w:val="00252B04"/>
    <w:rsid w:val="002531E4"/>
    <w:rsid w:val="00253667"/>
    <w:rsid w:val="002536ED"/>
    <w:rsid w:val="0025385A"/>
    <w:rsid w:val="002539E4"/>
    <w:rsid w:val="00253F14"/>
    <w:rsid w:val="00253F22"/>
    <w:rsid w:val="002542CA"/>
    <w:rsid w:val="00254A18"/>
    <w:rsid w:val="00254BFC"/>
    <w:rsid w:val="00255E39"/>
    <w:rsid w:val="00255EAD"/>
    <w:rsid w:val="00256092"/>
    <w:rsid w:val="0025621E"/>
    <w:rsid w:val="00256481"/>
    <w:rsid w:val="00256516"/>
    <w:rsid w:val="00256610"/>
    <w:rsid w:val="002569E6"/>
    <w:rsid w:val="00256AFE"/>
    <w:rsid w:val="00256B67"/>
    <w:rsid w:val="00256DBE"/>
    <w:rsid w:val="00256ECA"/>
    <w:rsid w:val="0025714E"/>
    <w:rsid w:val="0025762F"/>
    <w:rsid w:val="00257E15"/>
    <w:rsid w:val="00260405"/>
    <w:rsid w:val="00260A1B"/>
    <w:rsid w:val="00260D9F"/>
    <w:rsid w:val="00260F35"/>
    <w:rsid w:val="0026115E"/>
    <w:rsid w:val="00261437"/>
    <w:rsid w:val="00261521"/>
    <w:rsid w:val="002619F8"/>
    <w:rsid w:val="00261A14"/>
    <w:rsid w:val="00261CEC"/>
    <w:rsid w:val="00261F8F"/>
    <w:rsid w:val="002620C5"/>
    <w:rsid w:val="002623E4"/>
    <w:rsid w:val="002624DB"/>
    <w:rsid w:val="00262673"/>
    <w:rsid w:val="00262799"/>
    <w:rsid w:val="00262917"/>
    <w:rsid w:val="00262C82"/>
    <w:rsid w:val="00262CD5"/>
    <w:rsid w:val="00262E47"/>
    <w:rsid w:val="00262E69"/>
    <w:rsid w:val="00262EAC"/>
    <w:rsid w:val="00263325"/>
    <w:rsid w:val="00263883"/>
    <w:rsid w:val="00263D3F"/>
    <w:rsid w:val="00264123"/>
    <w:rsid w:val="002644B4"/>
    <w:rsid w:val="00264582"/>
    <w:rsid w:val="00264597"/>
    <w:rsid w:val="002646EE"/>
    <w:rsid w:val="00264878"/>
    <w:rsid w:val="00264B8A"/>
    <w:rsid w:val="00264C60"/>
    <w:rsid w:val="00264D65"/>
    <w:rsid w:val="002652C5"/>
    <w:rsid w:val="0026556D"/>
    <w:rsid w:val="002656D3"/>
    <w:rsid w:val="00265D32"/>
    <w:rsid w:val="00265E17"/>
    <w:rsid w:val="002660D9"/>
    <w:rsid w:val="002662EB"/>
    <w:rsid w:val="002665DE"/>
    <w:rsid w:val="0026673D"/>
    <w:rsid w:val="00266873"/>
    <w:rsid w:val="00266945"/>
    <w:rsid w:val="00266B74"/>
    <w:rsid w:val="00266E2C"/>
    <w:rsid w:val="00267014"/>
    <w:rsid w:val="00267A68"/>
    <w:rsid w:val="00267A83"/>
    <w:rsid w:val="00267CE8"/>
    <w:rsid w:val="002705F5"/>
    <w:rsid w:val="002706D1"/>
    <w:rsid w:val="00270C0B"/>
    <w:rsid w:val="00270C89"/>
    <w:rsid w:val="00270F42"/>
    <w:rsid w:val="00270F68"/>
    <w:rsid w:val="00271668"/>
    <w:rsid w:val="0027168D"/>
    <w:rsid w:val="00271CA0"/>
    <w:rsid w:val="00271EAC"/>
    <w:rsid w:val="0027225E"/>
    <w:rsid w:val="002724FA"/>
    <w:rsid w:val="00272653"/>
    <w:rsid w:val="00272A4F"/>
    <w:rsid w:val="00272BCA"/>
    <w:rsid w:val="00272D9B"/>
    <w:rsid w:val="00273204"/>
    <w:rsid w:val="0027334F"/>
    <w:rsid w:val="002734A3"/>
    <w:rsid w:val="00273AC9"/>
    <w:rsid w:val="002740D6"/>
    <w:rsid w:val="00274312"/>
    <w:rsid w:val="002748B1"/>
    <w:rsid w:val="00274CF8"/>
    <w:rsid w:val="00274DCF"/>
    <w:rsid w:val="00274DED"/>
    <w:rsid w:val="00274EE4"/>
    <w:rsid w:val="002752B2"/>
    <w:rsid w:val="0027563C"/>
    <w:rsid w:val="002759EB"/>
    <w:rsid w:val="00275D5F"/>
    <w:rsid w:val="00275DC7"/>
    <w:rsid w:val="00275EA7"/>
    <w:rsid w:val="00275F5A"/>
    <w:rsid w:val="002761C5"/>
    <w:rsid w:val="00276718"/>
    <w:rsid w:val="002767EE"/>
    <w:rsid w:val="0027684A"/>
    <w:rsid w:val="00276B18"/>
    <w:rsid w:val="00276BA6"/>
    <w:rsid w:val="00276DF6"/>
    <w:rsid w:val="00276F1E"/>
    <w:rsid w:val="00277285"/>
    <w:rsid w:val="00277349"/>
    <w:rsid w:val="00277C40"/>
    <w:rsid w:val="00277C8F"/>
    <w:rsid w:val="00277DEE"/>
    <w:rsid w:val="00280039"/>
    <w:rsid w:val="002804F7"/>
    <w:rsid w:val="0028062C"/>
    <w:rsid w:val="00280FBA"/>
    <w:rsid w:val="00281021"/>
    <w:rsid w:val="00281127"/>
    <w:rsid w:val="0028131E"/>
    <w:rsid w:val="00281353"/>
    <w:rsid w:val="00281725"/>
    <w:rsid w:val="00281870"/>
    <w:rsid w:val="002819F2"/>
    <w:rsid w:val="00281C4E"/>
    <w:rsid w:val="00281EC2"/>
    <w:rsid w:val="00282353"/>
    <w:rsid w:val="0028247A"/>
    <w:rsid w:val="002826A3"/>
    <w:rsid w:val="00283251"/>
    <w:rsid w:val="00283594"/>
    <w:rsid w:val="00283BC7"/>
    <w:rsid w:val="00283D6A"/>
    <w:rsid w:val="00284181"/>
    <w:rsid w:val="002842A2"/>
    <w:rsid w:val="00284B40"/>
    <w:rsid w:val="00284DCC"/>
    <w:rsid w:val="00285207"/>
    <w:rsid w:val="002858A2"/>
    <w:rsid w:val="0028618A"/>
    <w:rsid w:val="0028666E"/>
    <w:rsid w:val="0028677F"/>
    <w:rsid w:val="002868A8"/>
    <w:rsid w:val="002868F4"/>
    <w:rsid w:val="0028693E"/>
    <w:rsid w:val="00286A6F"/>
    <w:rsid w:val="00286D54"/>
    <w:rsid w:val="00286DCE"/>
    <w:rsid w:val="00286DF1"/>
    <w:rsid w:val="00286F7B"/>
    <w:rsid w:val="002870CB"/>
    <w:rsid w:val="002871E1"/>
    <w:rsid w:val="002877B5"/>
    <w:rsid w:val="00287A4C"/>
    <w:rsid w:val="00287D7E"/>
    <w:rsid w:val="00287E9E"/>
    <w:rsid w:val="002901CE"/>
    <w:rsid w:val="00290977"/>
    <w:rsid w:val="00290FD8"/>
    <w:rsid w:val="002913E1"/>
    <w:rsid w:val="0029185E"/>
    <w:rsid w:val="00292082"/>
    <w:rsid w:val="002920CC"/>
    <w:rsid w:val="00292131"/>
    <w:rsid w:val="00292411"/>
    <w:rsid w:val="002924FD"/>
    <w:rsid w:val="00292A46"/>
    <w:rsid w:val="00292FCC"/>
    <w:rsid w:val="00293054"/>
    <w:rsid w:val="002931CF"/>
    <w:rsid w:val="0029328A"/>
    <w:rsid w:val="00293E1D"/>
    <w:rsid w:val="00293EE2"/>
    <w:rsid w:val="00293F39"/>
    <w:rsid w:val="0029418D"/>
    <w:rsid w:val="002944F2"/>
    <w:rsid w:val="002946DA"/>
    <w:rsid w:val="002947B2"/>
    <w:rsid w:val="00295051"/>
    <w:rsid w:val="002950CA"/>
    <w:rsid w:val="002951A8"/>
    <w:rsid w:val="0029532D"/>
    <w:rsid w:val="0029539E"/>
    <w:rsid w:val="002957FB"/>
    <w:rsid w:val="00295ABC"/>
    <w:rsid w:val="0029609C"/>
    <w:rsid w:val="00296229"/>
    <w:rsid w:val="002964A5"/>
    <w:rsid w:val="002964FD"/>
    <w:rsid w:val="00296711"/>
    <w:rsid w:val="00296AE5"/>
    <w:rsid w:val="00296B3B"/>
    <w:rsid w:val="00296CEA"/>
    <w:rsid w:val="00296DF5"/>
    <w:rsid w:val="00297030"/>
    <w:rsid w:val="002972D9"/>
    <w:rsid w:val="002973FB"/>
    <w:rsid w:val="00297768"/>
    <w:rsid w:val="002977AB"/>
    <w:rsid w:val="00297A8E"/>
    <w:rsid w:val="00297FFB"/>
    <w:rsid w:val="002A04A0"/>
    <w:rsid w:val="002A078B"/>
    <w:rsid w:val="002A099A"/>
    <w:rsid w:val="002A0ADC"/>
    <w:rsid w:val="002A0E43"/>
    <w:rsid w:val="002A115E"/>
    <w:rsid w:val="002A117A"/>
    <w:rsid w:val="002A12F8"/>
    <w:rsid w:val="002A1634"/>
    <w:rsid w:val="002A1741"/>
    <w:rsid w:val="002A17D4"/>
    <w:rsid w:val="002A1C1D"/>
    <w:rsid w:val="002A1D9B"/>
    <w:rsid w:val="002A205B"/>
    <w:rsid w:val="002A21D5"/>
    <w:rsid w:val="002A22FD"/>
    <w:rsid w:val="002A2390"/>
    <w:rsid w:val="002A2789"/>
    <w:rsid w:val="002A2791"/>
    <w:rsid w:val="002A2B4D"/>
    <w:rsid w:val="002A2DA8"/>
    <w:rsid w:val="002A2DBC"/>
    <w:rsid w:val="002A3081"/>
    <w:rsid w:val="002A3127"/>
    <w:rsid w:val="002A3355"/>
    <w:rsid w:val="002A33E7"/>
    <w:rsid w:val="002A340B"/>
    <w:rsid w:val="002A34BF"/>
    <w:rsid w:val="002A35F9"/>
    <w:rsid w:val="002A37A9"/>
    <w:rsid w:val="002A3D95"/>
    <w:rsid w:val="002A3F77"/>
    <w:rsid w:val="002A43C4"/>
    <w:rsid w:val="002A43F6"/>
    <w:rsid w:val="002A4498"/>
    <w:rsid w:val="002A47D9"/>
    <w:rsid w:val="002A4828"/>
    <w:rsid w:val="002A4C04"/>
    <w:rsid w:val="002A4CC0"/>
    <w:rsid w:val="002A4CF6"/>
    <w:rsid w:val="002A5026"/>
    <w:rsid w:val="002A51D5"/>
    <w:rsid w:val="002A55BB"/>
    <w:rsid w:val="002A57EA"/>
    <w:rsid w:val="002A5F66"/>
    <w:rsid w:val="002A6010"/>
    <w:rsid w:val="002A6136"/>
    <w:rsid w:val="002A6181"/>
    <w:rsid w:val="002A64AC"/>
    <w:rsid w:val="002A6724"/>
    <w:rsid w:val="002A67D5"/>
    <w:rsid w:val="002A69A6"/>
    <w:rsid w:val="002A6BC3"/>
    <w:rsid w:val="002A6E63"/>
    <w:rsid w:val="002A6E99"/>
    <w:rsid w:val="002A73BA"/>
    <w:rsid w:val="002A7CB0"/>
    <w:rsid w:val="002A7DE1"/>
    <w:rsid w:val="002A7FE3"/>
    <w:rsid w:val="002A7FED"/>
    <w:rsid w:val="002B007A"/>
    <w:rsid w:val="002B018A"/>
    <w:rsid w:val="002B0308"/>
    <w:rsid w:val="002B077D"/>
    <w:rsid w:val="002B07E0"/>
    <w:rsid w:val="002B0A53"/>
    <w:rsid w:val="002B0A77"/>
    <w:rsid w:val="002B0D87"/>
    <w:rsid w:val="002B0EBF"/>
    <w:rsid w:val="002B107C"/>
    <w:rsid w:val="002B11BD"/>
    <w:rsid w:val="002B1372"/>
    <w:rsid w:val="002B1442"/>
    <w:rsid w:val="002B1659"/>
    <w:rsid w:val="002B1846"/>
    <w:rsid w:val="002B1F0B"/>
    <w:rsid w:val="002B2038"/>
    <w:rsid w:val="002B2063"/>
    <w:rsid w:val="002B20DC"/>
    <w:rsid w:val="002B21AD"/>
    <w:rsid w:val="002B2768"/>
    <w:rsid w:val="002B2909"/>
    <w:rsid w:val="002B2B30"/>
    <w:rsid w:val="002B31D9"/>
    <w:rsid w:val="002B343A"/>
    <w:rsid w:val="002B3450"/>
    <w:rsid w:val="002B345E"/>
    <w:rsid w:val="002B3560"/>
    <w:rsid w:val="002B35C8"/>
    <w:rsid w:val="002B36C3"/>
    <w:rsid w:val="002B3CEB"/>
    <w:rsid w:val="002B3DE3"/>
    <w:rsid w:val="002B3EDE"/>
    <w:rsid w:val="002B4242"/>
    <w:rsid w:val="002B4BD9"/>
    <w:rsid w:val="002B4F6C"/>
    <w:rsid w:val="002B5856"/>
    <w:rsid w:val="002B597E"/>
    <w:rsid w:val="002B5A4B"/>
    <w:rsid w:val="002B5B94"/>
    <w:rsid w:val="002B5C91"/>
    <w:rsid w:val="002B5E5D"/>
    <w:rsid w:val="002B5EF7"/>
    <w:rsid w:val="002B5FE4"/>
    <w:rsid w:val="002B6252"/>
    <w:rsid w:val="002B6276"/>
    <w:rsid w:val="002B6EBF"/>
    <w:rsid w:val="002B742D"/>
    <w:rsid w:val="002B745A"/>
    <w:rsid w:val="002B777A"/>
    <w:rsid w:val="002B7B94"/>
    <w:rsid w:val="002B7EC7"/>
    <w:rsid w:val="002C0255"/>
    <w:rsid w:val="002C0463"/>
    <w:rsid w:val="002C0469"/>
    <w:rsid w:val="002C0AAD"/>
    <w:rsid w:val="002C0B18"/>
    <w:rsid w:val="002C0E06"/>
    <w:rsid w:val="002C1354"/>
    <w:rsid w:val="002C14C5"/>
    <w:rsid w:val="002C14CE"/>
    <w:rsid w:val="002C1D2C"/>
    <w:rsid w:val="002C21BA"/>
    <w:rsid w:val="002C2228"/>
    <w:rsid w:val="002C2653"/>
    <w:rsid w:val="002C2655"/>
    <w:rsid w:val="002C269F"/>
    <w:rsid w:val="002C27C7"/>
    <w:rsid w:val="002C2C4D"/>
    <w:rsid w:val="002C2DEA"/>
    <w:rsid w:val="002C314C"/>
    <w:rsid w:val="002C34F0"/>
    <w:rsid w:val="002C3699"/>
    <w:rsid w:val="002C39BC"/>
    <w:rsid w:val="002C3DAA"/>
    <w:rsid w:val="002C4176"/>
    <w:rsid w:val="002C466B"/>
    <w:rsid w:val="002C4EF1"/>
    <w:rsid w:val="002C4F14"/>
    <w:rsid w:val="002C52E3"/>
    <w:rsid w:val="002C590E"/>
    <w:rsid w:val="002C5D54"/>
    <w:rsid w:val="002C6175"/>
    <w:rsid w:val="002C6375"/>
    <w:rsid w:val="002C6935"/>
    <w:rsid w:val="002C6A70"/>
    <w:rsid w:val="002C6B9B"/>
    <w:rsid w:val="002C6D76"/>
    <w:rsid w:val="002C6FCF"/>
    <w:rsid w:val="002C7282"/>
    <w:rsid w:val="002C72D0"/>
    <w:rsid w:val="002C73A5"/>
    <w:rsid w:val="002C757F"/>
    <w:rsid w:val="002C75F6"/>
    <w:rsid w:val="002C7995"/>
    <w:rsid w:val="002C7BE8"/>
    <w:rsid w:val="002C7CAC"/>
    <w:rsid w:val="002C7DAE"/>
    <w:rsid w:val="002D03F8"/>
    <w:rsid w:val="002D04D2"/>
    <w:rsid w:val="002D075D"/>
    <w:rsid w:val="002D0AC5"/>
    <w:rsid w:val="002D0CE6"/>
    <w:rsid w:val="002D160F"/>
    <w:rsid w:val="002D1AA0"/>
    <w:rsid w:val="002D1CC0"/>
    <w:rsid w:val="002D1E9B"/>
    <w:rsid w:val="002D1FAE"/>
    <w:rsid w:val="002D2440"/>
    <w:rsid w:val="002D2A5B"/>
    <w:rsid w:val="002D2BCE"/>
    <w:rsid w:val="002D2D8C"/>
    <w:rsid w:val="002D300D"/>
    <w:rsid w:val="002D3040"/>
    <w:rsid w:val="002D30CB"/>
    <w:rsid w:val="002D350C"/>
    <w:rsid w:val="002D358C"/>
    <w:rsid w:val="002D35AD"/>
    <w:rsid w:val="002D392F"/>
    <w:rsid w:val="002D3B31"/>
    <w:rsid w:val="002D3D28"/>
    <w:rsid w:val="002D3E80"/>
    <w:rsid w:val="002D4042"/>
    <w:rsid w:val="002D4304"/>
    <w:rsid w:val="002D462F"/>
    <w:rsid w:val="002D463F"/>
    <w:rsid w:val="002D46C8"/>
    <w:rsid w:val="002D4880"/>
    <w:rsid w:val="002D49A5"/>
    <w:rsid w:val="002D4DE5"/>
    <w:rsid w:val="002D5249"/>
    <w:rsid w:val="002D525D"/>
    <w:rsid w:val="002D562A"/>
    <w:rsid w:val="002D5763"/>
    <w:rsid w:val="002D57ED"/>
    <w:rsid w:val="002D5C06"/>
    <w:rsid w:val="002D5CF8"/>
    <w:rsid w:val="002D630B"/>
    <w:rsid w:val="002D64B7"/>
    <w:rsid w:val="002D67E1"/>
    <w:rsid w:val="002D6C5F"/>
    <w:rsid w:val="002D6FF4"/>
    <w:rsid w:val="002D7214"/>
    <w:rsid w:val="002D721E"/>
    <w:rsid w:val="002D7263"/>
    <w:rsid w:val="002D72E2"/>
    <w:rsid w:val="002D74B8"/>
    <w:rsid w:val="002D79FF"/>
    <w:rsid w:val="002D7B27"/>
    <w:rsid w:val="002D7E18"/>
    <w:rsid w:val="002E03D7"/>
    <w:rsid w:val="002E0587"/>
    <w:rsid w:val="002E05D8"/>
    <w:rsid w:val="002E0D5F"/>
    <w:rsid w:val="002E0D73"/>
    <w:rsid w:val="002E0E56"/>
    <w:rsid w:val="002E0E6E"/>
    <w:rsid w:val="002E116A"/>
    <w:rsid w:val="002E1784"/>
    <w:rsid w:val="002E1B6D"/>
    <w:rsid w:val="002E22C8"/>
    <w:rsid w:val="002E282D"/>
    <w:rsid w:val="002E3099"/>
    <w:rsid w:val="002E347E"/>
    <w:rsid w:val="002E36A4"/>
    <w:rsid w:val="002E36F5"/>
    <w:rsid w:val="002E37F9"/>
    <w:rsid w:val="002E39B0"/>
    <w:rsid w:val="002E3A29"/>
    <w:rsid w:val="002E3A6D"/>
    <w:rsid w:val="002E3BF4"/>
    <w:rsid w:val="002E4225"/>
    <w:rsid w:val="002E4325"/>
    <w:rsid w:val="002E4411"/>
    <w:rsid w:val="002E4506"/>
    <w:rsid w:val="002E49A1"/>
    <w:rsid w:val="002E49DA"/>
    <w:rsid w:val="002E4A70"/>
    <w:rsid w:val="002E4AA6"/>
    <w:rsid w:val="002E4D78"/>
    <w:rsid w:val="002E5075"/>
    <w:rsid w:val="002E5286"/>
    <w:rsid w:val="002E5B90"/>
    <w:rsid w:val="002E5F8E"/>
    <w:rsid w:val="002E6385"/>
    <w:rsid w:val="002E6496"/>
    <w:rsid w:val="002E64DB"/>
    <w:rsid w:val="002E6BD1"/>
    <w:rsid w:val="002E6C15"/>
    <w:rsid w:val="002E6C1A"/>
    <w:rsid w:val="002E6CC1"/>
    <w:rsid w:val="002E6F00"/>
    <w:rsid w:val="002E6FE5"/>
    <w:rsid w:val="002E6FE8"/>
    <w:rsid w:val="002E7688"/>
    <w:rsid w:val="002E78D3"/>
    <w:rsid w:val="002E7C14"/>
    <w:rsid w:val="002E7C78"/>
    <w:rsid w:val="002F028D"/>
    <w:rsid w:val="002F0405"/>
    <w:rsid w:val="002F0670"/>
    <w:rsid w:val="002F08C1"/>
    <w:rsid w:val="002F0AB3"/>
    <w:rsid w:val="002F0CAD"/>
    <w:rsid w:val="002F1200"/>
    <w:rsid w:val="002F15A9"/>
    <w:rsid w:val="002F16D1"/>
    <w:rsid w:val="002F1960"/>
    <w:rsid w:val="002F1D15"/>
    <w:rsid w:val="002F1EFE"/>
    <w:rsid w:val="002F1F71"/>
    <w:rsid w:val="002F2075"/>
    <w:rsid w:val="002F20B1"/>
    <w:rsid w:val="002F20D4"/>
    <w:rsid w:val="002F20D7"/>
    <w:rsid w:val="002F2321"/>
    <w:rsid w:val="002F2878"/>
    <w:rsid w:val="002F2BBF"/>
    <w:rsid w:val="002F315D"/>
    <w:rsid w:val="002F35F3"/>
    <w:rsid w:val="002F3690"/>
    <w:rsid w:val="002F3A46"/>
    <w:rsid w:val="002F3B6B"/>
    <w:rsid w:val="002F3E0D"/>
    <w:rsid w:val="002F43F1"/>
    <w:rsid w:val="002F44CD"/>
    <w:rsid w:val="002F4641"/>
    <w:rsid w:val="002F475F"/>
    <w:rsid w:val="002F4867"/>
    <w:rsid w:val="002F4B64"/>
    <w:rsid w:val="002F4F16"/>
    <w:rsid w:val="002F53B4"/>
    <w:rsid w:val="002F5721"/>
    <w:rsid w:val="002F5745"/>
    <w:rsid w:val="002F5925"/>
    <w:rsid w:val="002F5D98"/>
    <w:rsid w:val="002F62C6"/>
    <w:rsid w:val="002F6650"/>
    <w:rsid w:val="002F67DA"/>
    <w:rsid w:val="002F69C0"/>
    <w:rsid w:val="002F6F87"/>
    <w:rsid w:val="002F717E"/>
    <w:rsid w:val="002F734B"/>
    <w:rsid w:val="002F7ADE"/>
    <w:rsid w:val="00300CA6"/>
    <w:rsid w:val="00300E20"/>
    <w:rsid w:val="003014E0"/>
    <w:rsid w:val="00301A72"/>
    <w:rsid w:val="00301B32"/>
    <w:rsid w:val="003023E1"/>
    <w:rsid w:val="003029EA"/>
    <w:rsid w:val="00302A75"/>
    <w:rsid w:val="00302CDD"/>
    <w:rsid w:val="00302FA6"/>
    <w:rsid w:val="003031F3"/>
    <w:rsid w:val="00303306"/>
    <w:rsid w:val="0030353E"/>
    <w:rsid w:val="0030360E"/>
    <w:rsid w:val="00303641"/>
    <w:rsid w:val="00303E3D"/>
    <w:rsid w:val="00303E5A"/>
    <w:rsid w:val="00303FBC"/>
    <w:rsid w:val="0030417E"/>
    <w:rsid w:val="003043AF"/>
    <w:rsid w:val="003043ED"/>
    <w:rsid w:val="00304A3E"/>
    <w:rsid w:val="00304A4C"/>
    <w:rsid w:val="00305079"/>
    <w:rsid w:val="00305323"/>
    <w:rsid w:val="00305363"/>
    <w:rsid w:val="003054A3"/>
    <w:rsid w:val="003056A9"/>
    <w:rsid w:val="00305743"/>
    <w:rsid w:val="00305ACB"/>
    <w:rsid w:val="00305C50"/>
    <w:rsid w:val="00305C5F"/>
    <w:rsid w:val="00305C8E"/>
    <w:rsid w:val="00305ED1"/>
    <w:rsid w:val="0030619B"/>
    <w:rsid w:val="003061A0"/>
    <w:rsid w:val="00306269"/>
    <w:rsid w:val="00306626"/>
    <w:rsid w:val="00307166"/>
    <w:rsid w:val="0030726F"/>
    <w:rsid w:val="00307414"/>
    <w:rsid w:val="0030742C"/>
    <w:rsid w:val="00307628"/>
    <w:rsid w:val="00307853"/>
    <w:rsid w:val="003079E1"/>
    <w:rsid w:val="00307BDA"/>
    <w:rsid w:val="00307C7F"/>
    <w:rsid w:val="00307D89"/>
    <w:rsid w:val="00307F00"/>
    <w:rsid w:val="00307FA7"/>
    <w:rsid w:val="00310246"/>
    <w:rsid w:val="00310436"/>
    <w:rsid w:val="0031046A"/>
    <w:rsid w:val="00310A5E"/>
    <w:rsid w:val="0031114F"/>
    <w:rsid w:val="00311546"/>
    <w:rsid w:val="003115D3"/>
    <w:rsid w:val="00311A25"/>
    <w:rsid w:val="003121D4"/>
    <w:rsid w:val="003125B4"/>
    <w:rsid w:val="00312659"/>
    <w:rsid w:val="00312714"/>
    <w:rsid w:val="0031299E"/>
    <w:rsid w:val="00312A3A"/>
    <w:rsid w:val="00312DD4"/>
    <w:rsid w:val="00312FBC"/>
    <w:rsid w:val="00312FC3"/>
    <w:rsid w:val="0031302C"/>
    <w:rsid w:val="003132DF"/>
    <w:rsid w:val="00313593"/>
    <w:rsid w:val="00313597"/>
    <w:rsid w:val="003137DA"/>
    <w:rsid w:val="003138F7"/>
    <w:rsid w:val="00313A09"/>
    <w:rsid w:val="00313C03"/>
    <w:rsid w:val="00313C9E"/>
    <w:rsid w:val="00314000"/>
    <w:rsid w:val="00314293"/>
    <w:rsid w:val="003142A4"/>
    <w:rsid w:val="003145AB"/>
    <w:rsid w:val="00314851"/>
    <w:rsid w:val="00314B07"/>
    <w:rsid w:val="00314D12"/>
    <w:rsid w:val="0031569D"/>
    <w:rsid w:val="0031595E"/>
    <w:rsid w:val="00315ABA"/>
    <w:rsid w:val="00315D7E"/>
    <w:rsid w:val="00315DD5"/>
    <w:rsid w:val="00316404"/>
    <w:rsid w:val="00316418"/>
    <w:rsid w:val="003168CA"/>
    <w:rsid w:val="00316947"/>
    <w:rsid w:val="00317107"/>
    <w:rsid w:val="003175A2"/>
    <w:rsid w:val="00317724"/>
    <w:rsid w:val="003178B1"/>
    <w:rsid w:val="00317A39"/>
    <w:rsid w:val="00317D9C"/>
    <w:rsid w:val="003201C5"/>
    <w:rsid w:val="00320530"/>
    <w:rsid w:val="00320BEC"/>
    <w:rsid w:val="00320C02"/>
    <w:rsid w:val="0032102C"/>
    <w:rsid w:val="003214AF"/>
    <w:rsid w:val="003217A3"/>
    <w:rsid w:val="00321D7E"/>
    <w:rsid w:val="00321DAE"/>
    <w:rsid w:val="003220CD"/>
    <w:rsid w:val="003222A2"/>
    <w:rsid w:val="0032271C"/>
    <w:rsid w:val="003228F0"/>
    <w:rsid w:val="00322966"/>
    <w:rsid w:val="00322EC7"/>
    <w:rsid w:val="003231B3"/>
    <w:rsid w:val="0032358D"/>
    <w:rsid w:val="0032361D"/>
    <w:rsid w:val="00323775"/>
    <w:rsid w:val="00323A61"/>
    <w:rsid w:val="003240D9"/>
    <w:rsid w:val="0032412E"/>
    <w:rsid w:val="003241D8"/>
    <w:rsid w:val="00324B7E"/>
    <w:rsid w:val="00324C21"/>
    <w:rsid w:val="00324F0C"/>
    <w:rsid w:val="00325044"/>
    <w:rsid w:val="003252CC"/>
    <w:rsid w:val="0032586C"/>
    <w:rsid w:val="0032587C"/>
    <w:rsid w:val="00325BDD"/>
    <w:rsid w:val="00325CC0"/>
    <w:rsid w:val="00326556"/>
    <w:rsid w:val="00326709"/>
    <w:rsid w:val="00326A5F"/>
    <w:rsid w:val="00326D04"/>
    <w:rsid w:val="003273B9"/>
    <w:rsid w:val="003278B9"/>
    <w:rsid w:val="00327AC1"/>
    <w:rsid w:val="00330389"/>
    <w:rsid w:val="003306DA"/>
    <w:rsid w:val="003308DD"/>
    <w:rsid w:val="00330C81"/>
    <w:rsid w:val="00330F45"/>
    <w:rsid w:val="00331122"/>
    <w:rsid w:val="0033129A"/>
    <w:rsid w:val="003312DE"/>
    <w:rsid w:val="003315E0"/>
    <w:rsid w:val="00331B64"/>
    <w:rsid w:val="00331E2B"/>
    <w:rsid w:val="00332067"/>
    <w:rsid w:val="003322B6"/>
    <w:rsid w:val="00332677"/>
    <w:rsid w:val="00332785"/>
    <w:rsid w:val="00333178"/>
    <w:rsid w:val="00333251"/>
    <w:rsid w:val="00333369"/>
    <w:rsid w:val="003338C7"/>
    <w:rsid w:val="00333BD9"/>
    <w:rsid w:val="00333DA4"/>
    <w:rsid w:val="00333F0E"/>
    <w:rsid w:val="00333F5B"/>
    <w:rsid w:val="00333FC8"/>
    <w:rsid w:val="003343E4"/>
    <w:rsid w:val="00334772"/>
    <w:rsid w:val="0033480F"/>
    <w:rsid w:val="00334B6C"/>
    <w:rsid w:val="00334C27"/>
    <w:rsid w:val="00334E5C"/>
    <w:rsid w:val="00334F06"/>
    <w:rsid w:val="003350C4"/>
    <w:rsid w:val="003354A5"/>
    <w:rsid w:val="00335D1C"/>
    <w:rsid w:val="00335FA8"/>
    <w:rsid w:val="00336102"/>
    <w:rsid w:val="00336221"/>
    <w:rsid w:val="003362A7"/>
    <w:rsid w:val="00336364"/>
    <w:rsid w:val="0033646A"/>
    <w:rsid w:val="0033661E"/>
    <w:rsid w:val="003367F3"/>
    <w:rsid w:val="00336F09"/>
    <w:rsid w:val="003371F4"/>
    <w:rsid w:val="003375D8"/>
    <w:rsid w:val="0033777D"/>
    <w:rsid w:val="003400B4"/>
    <w:rsid w:val="0034011B"/>
    <w:rsid w:val="0034057A"/>
    <w:rsid w:val="003406BD"/>
    <w:rsid w:val="00340820"/>
    <w:rsid w:val="00340B50"/>
    <w:rsid w:val="00340C52"/>
    <w:rsid w:val="00341C18"/>
    <w:rsid w:val="00341FB1"/>
    <w:rsid w:val="0034249C"/>
    <w:rsid w:val="003424CB"/>
    <w:rsid w:val="00342508"/>
    <w:rsid w:val="003426B9"/>
    <w:rsid w:val="0034285C"/>
    <w:rsid w:val="003429F5"/>
    <w:rsid w:val="00342AC7"/>
    <w:rsid w:val="00342B0A"/>
    <w:rsid w:val="00342C77"/>
    <w:rsid w:val="003434A8"/>
    <w:rsid w:val="003434B0"/>
    <w:rsid w:val="003439B4"/>
    <w:rsid w:val="00343D58"/>
    <w:rsid w:val="0034443F"/>
    <w:rsid w:val="0034467E"/>
    <w:rsid w:val="003447A1"/>
    <w:rsid w:val="00344C27"/>
    <w:rsid w:val="003452D4"/>
    <w:rsid w:val="00345B9B"/>
    <w:rsid w:val="00345BC8"/>
    <w:rsid w:val="00345C42"/>
    <w:rsid w:val="003465EE"/>
    <w:rsid w:val="0034682D"/>
    <w:rsid w:val="00346B7C"/>
    <w:rsid w:val="00346BB4"/>
    <w:rsid w:val="00346F95"/>
    <w:rsid w:val="003470CB"/>
    <w:rsid w:val="0034710E"/>
    <w:rsid w:val="003473BC"/>
    <w:rsid w:val="00347400"/>
    <w:rsid w:val="0035009F"/>
    <w:rsid w:val="0035091F"/>
    <w:rsid w:val="00350E96"/>
    <w:rsid w:val="00350F69"/>
    <w:rsid w:val="00350F6D"/>
    <w:rsid w:val="003517A7"/>
    <w:rsid w:val="003518E9"/>
    <w:rsid w:val="00351BA3"/>
    <w:rsid w:val="00351BA6"/>
    <w:rsid w:val="00352790"/>
    <w:rsid w:val="003527BD"/>
    <w:rsid w:val="003528B1"/>
    <w:rsid w:val="00352C0F"/>
    <w:rsid w:val="00352CEB"/>
    <w:rsid w:val="00352DB5"/>
    <w:rsid w:val="00353D12"/>
    <w:rsid w:val="00353D30"/>
    <w:rsid w:val="0035416F"/>
    <w:rsid w:val="00354293"/>
    <w:rsid w:val="003548E0"/>
    <w:rsid w:val="0035498A"/>
    <w:rsid w:val="00354A4E"/>
    <w:rsid w:val="00354B04"/>
    <w:rsid w:val="00354BB6"/>
    <w:rsid w:val="00354DED"/>
    <w:rsid w:val="00354F05"/>
    <w:rsid w:val="00354F9A"/>
    <w:rsid w:val="00354FF8"/>
    <w:rsid w:val="00355547"/>
    <w:rsid w:val="0035557A"/>
    <w:rsid w:val="003559E7"/>
    <w:rsid w:val="00355ECD"/>
    <w:rsid w:val="00356361"/>
    <w:rsid w:val="00356D65"/>
    <w:rsid w:val="00356D7B"/>
    <w:rsid w:val="00356F2B"/>
    <w:rsid w:val="00356F3A"/>
    <w:rsid w:val="00356F47"/>
    <w:rsid w:val="003570B4"/>
    <w:rsid w:val="00357433"/>
    <w:rsid w:val="003577A5"/>
    <w:rsid w:val="00357983"/>
    <w:rsid w:val="003579D4"/>
    <w:rsid w:val="003600B5"/>
    <w:rsid w:val="00360145"/>
    <w:rsid w:val="00360445"/>
    <w:rsid w:val="003604B6"/>
    <w:rsid w:val="00360536"/>
    <w:rsid w:val="003608F0"/>
    <w:rsid w:val="00360DAD"/>
    <w:rsid w:val="003610AF"/>
    <w:rsid w:val="00361C80"/>
    <w:rsid w:val="00361D74"/>
    <w:rsid w:val="00361F29"/>
    <w:rsid w:val="003623EA"/>
    <w:rsid w:val="00362642"/>
    <w:rsid w:val="00362763"/>
    <w:rsid w:val="00362A09"/>
    <w:rsid w:val="00362EBE"/>
    <w:rsid w:val="00363797"/>
    <w:rsid w:val="00363819"/>
    <w:rsid w:val="00363B6C"/>
    <w:rsid w:val="00363FDA"/>
    <w:rsid w:val="0036400F"/>
    <w:rsid w:val="0036433D"/>
    <w:rsid w:val="003643D2"/>
    <w:rsid w:val="00364AA6"/>
    <w:rsid w:val="00364DEB"/>
    <w:rsid w:val="00364E7B"/>
    <w:rsid w:val="0036514D"/>
    <w:rsid w:val="003651F7"/>
    <w:rsid w:val="003652A0"/>
    <w:rsid w:val="003659DF"/>
    <w:rsid w:val="00365A10"/>
    <w:rsid w:val="00365C28"/>
    <w:rsid w:val="00365D4E"/>
    <w:rsid w:val="00365E75"/>
    <w:rsid w:val="00365E82"/>
    <w:rsid w:val="0036623C"/>
    <w:rsid w:val="003669C3"/>
    <w:rsid w:val="00366F11"/>
    <w:rsid w:val="003672A5"/>
    <w:rsid w:val="00367372"/>
    <w:rsid w:val="00367957"/>
    <w:rsid w:val="00367E9E"/>
    <w:rsid w:val="003700B5"/>
    <w:rsid w:val="00370795"/>
    <w:rsid w:val="00370839"/>
    <w:rsid w:val="00370979"/>
    <w:rsid w:val="00371846"/>
    <w:rsid w:val="00371E48"/>
    <w:rsid w:val="00371F9A"/>
    <w:rsid w:val="00371FE4"/>
    <w:rsid w:val="00372044"/>
    <w:rsid w:val="0037221D"/>
    <w:rsid w:val="003723C8"/>
    <w:rsid w:val="00372817"/>
    <w:rsid w:val="00373433"/>
    <w:rsid w:val="00373437"/>
    <w:rsid w:val="00373440"/>
    <w:rsid w:val="00373688"/>
    <w:rsid w:val="00373881"/>
    <w:rsid w:val="00373965"/>
    <w:rsid w:val="00373984"/>
    <w:rsid w:val="00373ABA"/>
    <w:rsid w:val="00373C36"/>
    <w:rsid w:val="00373CB8"/>
    <w:rsid w:val="0037415E"/>
    <w:rsid w:val="00374173"/>
    <w:rsid w:val="003741D7"/>
    <w:rsid w:val="00374670"/>
    <w:rsid w:val="00374A91"/>
    <w:rsid w:val="00374B6D"/>
    <w:rsid w:val="00374BBE"/>
    <w:rsid w:val="00374C24"/>
    <w:rsid w:val="00374FF3"/>
    <w:rsid w:val="00375092"/>
    <w:rsid w:val="00375273"/>
    <w:rsid w:val="0037537C"/>
    <w:rsid w:val="00375487"/>
    <w:rsid w:val="00375F64"/>
    <w:rsid w:val="00376022"/>
    <w:rsid w:val="0037605E"/>
    <w:rsid w:val="003761B6"/>
    <w:rsid w:val="003763A2"/>
    <w:rsid w:val="00376445"/>
    <w:rsid w:val="0037656F"/>
    <w:rsid w:val="00376A3E"/>
    <w:rsid w:val="00376CFD"/>
    <w:rsid w:val="00376ED4"/>
    <w:rsid w:val="003770FD"/>
    <w:rsid w:val="00377179"/>
    <w:rsid w:val="0037747D"/>
    <w:rsid w:val="00377AAB"/>
    <w:rsid w:val="00377C12"/>
    <w:rsid w:val="00380116"/>
    <w:rsid w:val="003801EA"/>
    <w:rsid w:val="00380562"/>
    <w:rsid w:val="00380BCA"/>
    <w:rsid w:val="00380FD6"/>
    <w:rsid w:val="00381EFC"/>
    <w:rsid w:val="00382368"/>
    <w:rsid w:val="003828E1"/>
    <w:rsid w:val="00382F4B"/>
    <w:rsid w:val="00383F75"/>
    <w:rsid w:val="003849B4"/>
    <w:rsid w:val="0038506E"/>
    <w:rsid w:val="003850E2"/>
    <w:rsid w:val="003851D3"/>
    <w:rsid w:val="00385390"/>
    <w:rsid w:val="003853C5"/>
    <w:rsid w:val="003854BD"/>
    <w:rsid w:val="003859E2"/>
    <w:rsid w:val="00385A6E"/>
    <w:rsid w:val="00385B0D"/>
    <w:rsid w:val="00385EBB"/>
    <w:rsid w:val="00385F04"/>
    <w:rsid w:val="00385F5B"/>
    <w:rsid w:val="003864A7"/>
    <w:rsid w:val="0038652F"/>
    <w:rsid w:val="003866C9"/>
    <w:rsid w:val="003866E9"/>
    <w:rsid w:val="00386847"/>
    <w:rsid w:val="00386927"/>
    <w:rsid w:val="003872DA"/>
    <w:rsid w:val="00387652"/>
    <w:rsid w:val="003876C6"/>
    <w:rsid w:val="00387797"/>
    <w:rsid w:val="00387D9D"/>
    <w:rsid w:val="00387DEE"/>
    <w:rsid w:val="00390AB5"/>
    <w:rsid w:val="00390FAE"/>
    <w:rsid w:val="003917F2"/>
    <w:rsid w:val="0039195F"/>
    <w:rsid w:val="00391D3E"/>
    <w:rsid w:val="00391FEA"/>
    <w:rsid w:val="003923E7"/>
    <w:rsid w:val="003924A3"/>
    <w:rsid w:val="00392950"/>
    <w:rsid w:val="00392E99"/>
    <w:rsid w:val="003938A3"/>
    <w:rsid w:val="00393A60"/>
    <w:rsid w:val="00393F8A"/>
    <w:rsid w:val="00393FE0"/>
    <w:rsid w:val="00394292"/>
    <w:rsid w:val="00394381"/>
    <w:rsid w:val="003946EF"/>
    <w:rsid w:val="0039479A"/>
    <w:rsid w:val="003949B4"/>
    <w:rsid w:val="003950C6"/>
    <w:rsid w:val="00395601"/>
    <w:rsid w:val="00395EF2"/>
    <w:rsid w:val="00396CA6"/>
    <w:rsid w:val="00396E8B"/>
    <w:rsid w:val="00396EA7"/>
    <w:rsid w:val="00396F48"/>
    <w:rsid w:val="00397993"/>
    <w:rsid w:val="00397CEC"/>
    <w:rsid w:val="00397DAA"/>
    <w:rsid w:val="00397E2F"/>
    <w:rsid w:val="00397EED"/>
    <w:rsid w:val="00397F88"/>
    <w:rsid w:val="003A0106"/>
    <w:rsid w:val="003A0157"/>
    <w:rsid w:val="003A0162"/>
    <w:rsid w:val="003A0163"/>
    <w:rsid w:val="003A035F"/>
    <w:rsid w:val="003A057E"/>
    <w:rsid w:val="003A0855"/>
    <w:rsid w:val="003A0919"/>
    <w:rsid w:val="003A09D4"/>
    <w:rsid w:val="003A0E28"/>
    <w:rsid w:val="003A119C"/>
    <w:rsid w:val="003A12AA"/>
    <w:rsid w:val="003A14C2"/>
    <w:rsid w:val="003A1971"/>
    <w:rsid w:val="003A1BDA"/>
    <w:rsid w:val="003A1BEA"/>
    <w:rsid w:val="003A1E32"/>
    <w:rsid w:val="003A24DE"/>
    <w:rsid w:val="003A2672"/>
    <w:rsid w:val="003A2694"/>
    <w:rsid w:val="003A2744"/>
    <w:rsid w:val="003A2997"/>
    <w:rsid w:val="003A2EEE"/>
    <w:rsid w:val="003A2F58"/>
    <w:rsid w:val="003A30D5"/>
    <w:rsid w:val="003A314B"/>
    <w:rsid w:val="003A31D6"/>
    <w:rsid w:val="003A31F1"/>
    <w:rsid w:val="003A36AF"/>
    <w:rsid w:val="003A3F55"/>
    <w:rsid w:val="003A484D"/>
    <w:rsid w:val="003A4FF3"/>
    <w:rsid w:val="003A5744"/>
    <w:rsid w:val="003A5B3E"/>
    <w:rsid w:val="003A5ECE"/>
    <w:rsid w:val="003A611C"/>
    <w:rsid w:val="003A617B"/>
    <w:rsid w:val="003A6263"/>
    <w:rsid w:val="003A6708"/>
    <w:rsid w:val="003A6801"/>
    <w:rsid w:val="003A68A3"/>
    <w:rsid w:val="003A6C79"/>
    <w:rsid w:val="003A6CD1"/>
    <w:rsid w:val="003A70F4"/>
    <w:rsid w:val="003A7898"/>
    <w:rsid w:val="003A79A2"/>
    <w:rsid w:val="003A7A85"/>
    <w:rsid w:val="003A7A9E"/>
    <w:rsid w:val="003A7CEF"/>
    <w:rsid w:val="003A7DCE"/>
    <w:rsid w:val="003A7E20"/>
    <w:rsid w:val="003B0018"/>
    <w:rsid w:val="003B013F"/>
    <w:rsid w:val="003B03D8"/>
    <w:rsid w:val="003B0BC4"/>
    <w:rsid w:val="003B0BDE"/>
    <w:rsid w:val="003B0E1D"/>
    <w:rsid w:val="003B1245"/>
    <w:rsid w:val="003B1510"/>
    <w:rsid w:val="003B1628"/>
    <w:rsid w:val="003B1B06"/>
    <w:rsid w:val="003B1C72"/>
    <w:rsid w:val="003B1CAD"/>
    <w:rsid w:val="003B221E"/>
    <w:rsid w:val="003B246C"/>
    <w:rsid w:val="003B2523"/>
    <w:rsid w:val="003B25FB"/>
    <w:rsid w:val="003B2888"/>
    <w:rsid w:val="003B291F"/>
    <w:rsid w:val="003B2A36"/>
    <w:rsid w:val="003B2B9B"/>
    <w:rsid w:val="003B3151"/>
    <w:rsid w:val="003B3358"/>
    <w:rsid w:val="003B340D"/>
    <w:rsid w:val="003B344A"/>
    <w:rsid w:val="003B36CD"/>
    <w:rsid w:val="003B37A8"/>
    <w:rsid w:val="003B39E6"/>
    <w:rsid w:val="003B3AEB"/>
    <w:rsid w:val="003B3E0B"/>
    <w:rsid w:val="003B4743"/>
    <w:rsid w:val="003B47ED"/>
    <w:rsid w:val="003B4A15"/>
    <w:rsid w:val="003B4D15"/>
    <w:rsid w:val="003B511C"/>
    <w:rsid w:val="003B53F2"/>
    <w:rsid w:val="003B53F5"/>
    <w:rsid w:val="003B55D5"/>
    <w:rsid w:val="003B5C5C"/>
    <w:rsid w:val="003B643A"/>
    <w:rsid w:val="003B64E0"/>
    <w:rsid w:val="003B66DC"/>
    <w:rsid w:val="003B6798"/>
    <w:rsid w:val="003B68B2"/>
    <w:rsid w:val="003B6F0F"/>
    <w:rsid w:val="003B730A"/>
    <w:rsid w:val="003B74A2"/>
    <w:rsid w:val="003B74E1"/>
    <w:rsid w:val="003C04E4"/>
    <w:rsid w:val="003C0918"/>
    <w:rsid w:val="003C0ADE"/>
    <w:rsid w:val="003C0B78"/>
    <w:rsid w:val="003C0D8B"/>
    <w:rsid w:val="003C0E72"/>
    <w:rsid w:val="003C0E9F"/>
    <w:rsid w:val="003C107A"/>
    <w:rsid w:val="003C1248"/>
    <w:rsid w:val="003C1355"/>
    <w:rsid w:val="003C1577"/>
    <w:rsid w:val="003C15FF"/>
    <w:rsid w:val="003C171D"/>
    <w:rsid w:val="003C18F1"/>
    <w:rsid w:val="003C19DD"/>
    <w:rsid w:val="003C1CB8"/>
    <w:rsid w:val="003C1EBF"/>
    <w:rsid w:val="003C231C"/>
    <w:rsid w:val="003C256E"/>
    <w:rsid w:val="003C2809"/>
    <w:rsid w:val="003C2A1B"/>
    <w:rsid w:val="003C2C4F"/>
    <w:rsid w:val="003C30F0"/>
    <w:rsid w:val="003C31C1"/>
    <w:rsid w:val="003C335A"/>
    <w:rsid w:val="003C35B7"/>
    <w:rsid w:val="003C35E4"/>
    <w:rsid w:val="003C3657"/>
    <w:rsid w:val="003C379C"/>
    <w:rsid w:val="003C3B9E"/>
    <w:rsid w:val="003C3ED6"/>
    <w:rsid w:val="003C4073"/>
    <w:rsid w:val="003C4EAA"/>
    <w:rsid w:val="003C55EA"/>
    <w:rsid w:val="003C5603"/>
    <w:rsid w:val="003C5C85"/>
    <w:rsid w:val="003C604B"/>
    <w:rsid w:val="003C63CE"/>
    <w:rsid w:val="003C650D"/>
    <w:rsid w:val="003C66A9"/>
    <w:rsid w:val="003C6B18"/>
    <w:rsid w:val="003C6C34"/>
    <w:rsid w:val="003C6E09"/>
    <w:rsid w:val="003C72F3"/>
    <w:rsid w:val="003C7A15"/>
    <w:rsid w:val="003C7A4A"/>
    <w:rsid w:val="003C7A59"/>
    <w:rsid w:val="003C7BE3"/>
    <w:rsid w:val="003C7C38"/>
    <w:rsid w:val="003D060F"/>
    <w:rsid w:val="003D0849"/>
    <w:rsid w:val="003D09B4"/>
    <w:rsid w:val="003D0A18"/>
    <w:rsid w:val="003D10CE"/>
    <w:rsid w:val="003D19B3"/>
    <w:rsid w:val="003D1E3E"/>
    <w:rsid w:val="003D21B6"/>
    <w:rsid w:val="003D25AB"/>
    <w:rsid w:val="003D2B3A"/>
    <w:rsid w:val="003D2B9A"/>
    <w:rsid w:val="003D2E48"/>
    <w:rsid w:val="003D2F99"/>
    <w:rsid w:val="003D3377"/>
    <w:rsid w:val="003D3846"/>
    <w:rsid w:val="003D3A39"/>
    <w:rsid w:val="003D40BB"/>
    <w:rsid w:val="003D42FC"/>
    <w:rsid w:val="003D4321"/>
    <w:rsid w:val="003D4819"/>
    <w:rsid w:val="003D4F90"/>
    <w:rsid w:val="003D53E6"/>
    <w:rsid w:val="003D567C"/>
    <w:rsid w:val="003D574B"/>
    <w:rsid w:val="003D575E"/>
    <w:rsid w:val="003D5813"/>
    <w:rsid w:val="003D5EB0"/>
    <w:rsid w:val="003D606F"/>
    <w:rsid w:val="003D60AE"/>
    <w:rsid w:val="003D6243"/>
    <w:rsid w:val="003D6559"/>
    <w:rsid w:val="003D65B7"/>
    <w:rsid w:val="003D69C3"/>
    <w:rsid w:val="003D6E41"/>
    <w:rsid w:val="003D6FF5"/>
    <w:rsid w:val="003D7125"/>
    <w:rsid w:val="003D713A"/>
    <w:rsid w:val="003D71EC"/>
    <w:rsid w:val="003D73E2"/>
    <w:rsid w:val="003D756F"/>
    <w:rsid w:val="003D79BD"/>
    <w:rsid w:val="003D7A1A"/>
    <w:rsid w:val="003D7BC7"/>
    <w:rsid w:val="003E06D7"/>
    <w:rsid w:val="003E0A13"/>
    <w:rsid w:val="003E0BDB"/>
    <w:rsid w:val="003E0DDE"/>
    <w:rsid w:val="003E10C6"/>
    <w:rsid w:val="003E1177"/>
    <w:rsid w:val="003E123D"/>
    <w:rsid w:val="003E15EE"/>
    <w:rsid w:val="003E15F2"/>
    <w:rsid w:val="003E182D"/>
    <w:rsid w:val="003E1C08"/>
    <w:rsid w:val="003E2267"/>
    <w:rsid w:val="003E27FD"/>
    <w:rsid w:val="003E2813"/>
    <w:rsid w:val="003E288F"/>
    <w:rsid w:val="003E2D11"/>
    <w:rsid w:val="003E2F75"/>
    <w:rsid w:val="003E3021"/>
    <w:rsid w:val="003E3062"/>
    <w:rsid w:val="003E32F7"/>
    <w:rsid w:val="003E359E"/>
    <w:rsid w:val="003E416B"/>
    <w:rsid w:val="003E4568"/>
    <w:rsid w:val="003E480F"/>
    <w:rsid w:val="003E489B"/>
    <w:rsid w:val="003E49BF"/>
    <w:rsid w:val="003E4A88"/>
    <w:rsid w:val="003E4CE4"/>
    <w:rsid w:val="003E4D46"/>
    <w:rsid w:val="003E4F51"/>
    <w:rsid w:val="003E582E"/>
    <w:rsid w:val="003E5969"/>
    <w:rsid w:val="003E5D4F"/>
    <w:rsid w:val="003E5F04"/>
    <w:rsid w:val="003E6720"/>
    <w:rsid w:val="003E6A9C"/>
    <w:rsid w:val="003E6AF1"/>
    <w:rsid w:val="003E6B39"/>
    <w:rsid w:val="003E6DE6"/>
    <w:rsid w:val="003E70C8"/>
    <w:rsid w:val="003E750E"/>
    <w:rsid w:val="003E7BAE"/>
    <w:rsid w:val="003E7DBE"/>
    <w:rsid w:val="003E7FD4"/>
    <w:rsid w:val="003F0026"/>
    <w:rsid w:val="003F053C"/>
    <w:rsid w:val="003F0B27"/>
    <w:rsid w:val="003F111B"/>
    <w:rsid w:val="003F12CB"/>
    <w:rsid w:val="003F1312"/>
    <w:rsid w:val="003F1706"/>
    <w:rsid w:val="003F1C4F"/>
    <w:rsid w:val="003F2066"/>
    <w:rsid w:val="003F2864"/>
    <w:rsid w:val="003F288C"/>
    <w:rsid w:val="003F2FF4"/>
    <w:rsid w:val="003F33A0"/>
    <w:rsid w:val="003F3688"/>
    <w:rsid w:val="003F3A24"/>
    <w:rsid w:val="003F3EBF"/>
    <w:rsid w:val="003F43A0"/>
    <w:rsid w:val="003F43A8"/>
    <w:rsid w:val="003F45D5"/>
    <w:rsid w:val="003F4AE2"/>
    <w:rsid w:val="003F4F38"/>
    <w:rsid w:val="003F5005"/>
    <w:rsid w:val="003F561C"/>
    <w:rsid w:val="003F5885"/>
    <w:rsid w:val="003F5A31"/>
    <w:rsid w:val="003F5AEE"/>
    <w:rsid w:val="003F5DF5"/>
    <w:rsid w:val="003F61B3"/>
    <w:rsid w:val="003F6839"/>
    <w:rsid w:val="003F6C40"/>
    <w:rsid w:val="003F6EBF"/>
    <w:rsid w:val="003F7559"/>
    <w:rsid w:val="003F75F0"/>
    <w:rsid w:val="003F7606"/>
    <w:rsid w:val="003F7F5F"/>
    <w:rsid w:val="003F7F69"/>
    <w:rsid w:val="004005A5"/>
    <w:rsid w:val="004006E8"/>
    <w:rsid w:val="0040072D"/>
    <w:rsid w:val="004009F4"/>
    <w:rsid w:val="00400ACF"/>
    <w:rsid w:val="00400B86"/>
    <w:rsid w:val="00401171"/>
    <w:rsid w:val="004011CF"/>
    <w:rsid w:val="004016FB"/>
    <w:rsid w:val="00401B30"/>
    <w:rsid w:val="0040250E"/>
    <w:rsid w:val="0040285A"/>
    <w:rsid w:val="004029CA"/>
    <w:rsid w:val="00402C79"/>
    <w:rsid w:val="00402CEF"/>
    <w:rsid w:val="00402D66"/>
    <w:rsid w:val="004030B3"/>
    <w:rsid w:val="0040366B"/>
    <w:rsid w:val="0040382A"/>
    <w:rsid w:val="00403A1B"/>
    <w:rsid w:val="00403D10"/>
    <w:rsid w:val="00403DFF"/>
    <w:rsid w:val="00403EC1"/>
    <w:rsid w:val="00403ECD"/>
    <w:rsid w:val="004042D7"/>
    <w:rsid w:val="004045AE"/>
    <w:rsid w:val="00404894"/>
    <w:rsid w:val="004049BE"/>
    <w:rsid w:val="00404A07"/>
    <w:rsid w:val="00404D36"/>
    <w:rsid w:val="004053B6"/>
    <w:rsid w:val="00405F37"/>
    <w:rsid w:val="00406229"/>
    <w:rsid w:val="00406330"/>
    <w:rsid w:val="00406403"/>
    <w:rsid w:val="00406623"/>
    <w:rsid w:val="0040668D"/>
    <w:rsid w:val="00406BE8"/>
    <w:rsid w:val="004073F3"/>
    <w:rsid w:val="004074BF"/>
    <w:rsid w:val="0040751A"/>
    <w:rsid w:val="00407C85"/>
    <w:rsid w:val="00407DB7"/>
    <w:rsid w:val="00407DFB"/>
    <w:rsid w:val="00407F0D"/>
    <w:rsid w:val="00410031"/>
    <w:rsid w:val="0041008D"/>
    <w:rsid w:val="0041023D"/>
    <w:rsid w:val="0041039F"/>
    <w:rsid w:val="00410999"/>
    <w:rsid w:val="00410A98"/>
    <w:rsid w:val="00410F2F"/>
    <w:rsid w:val="00410FAB"/>
    <w:rsid w:val="00410FBC"/>
    <w:rsid w:val="00410FC3"/>
    <w:rsid w:val="0041147F"/>
    <w:rsid w:val="00411DBE"/>
    <w:rsid w:val="00411E00"/>
    <w:rsid w:val="00412477"/>
    <w:rsid w:val="004125EC"/>
    <w:rsid w:val="00412BFF"/>
    <w:rsid w:val="00412E39"/>
    <w:rsid w:val="00412E57"/>
    <w:rsid w:val="0041305F"/>
    <w:rsid w:val="0041313C"/>
    <w:rsid w:val="0041335A"/>
    <w:rsid w:val="00413548"/>
    <w:rsid w:val="0041357A"/>
    <w:rsid w:val="0041379E"/>
    <w:rsid w:val="00413883"/>
    <w:rsid w:val="00413C52"/>
    <w:rsid w:val="00414043"/>
    <w:rsid w:val="0041445A"/>
    <w:rsid w:val="004149EB"/>
    <w:rsid w:val="004149ED"/>
    <w:rsid w:val="00414EBB"/>
    <w:rsid w:val="00415194"/>
    <w:rsid w:val="004153A7"/>
    <w:rsid w:val="0041597B"/>
    <w:rsid w:val="00415F95"/>
    <w:rsid w:val="004164F6"/>
    <w:rsid w:val="004168B8"/>
    <w:rsid w:val="004168F2"/>
    <w:rsid w:val="00416956"/>
    <w:rsid w:val="004169FE"/>
    <w:rsid w:val="00416C3F"/>
    <w:rsid w:val="00417153"/>
    <w:rsid w:val="0041789A"/>
    <w:rsid w:val="00417A12"/>
    <w:rsid w:val="00417ADD"/>
    <w:rsid w:val="00417B44"/>
    <w:rsid w:val="004200B2"/>
    <w:rsid w:val="00420225"/>
    <w:rsid w:val="00420274"/>
    <w:rsid w:val="004202C1"/>
    <w:rsid w:val="0042036D"/>
    <w:rsid w:val="004204ED"/>
    <w:rsid w:val="004205B6"/>
    <w:rsid w:val="00420888"/>
    <w:rsid w:val="004208AF"/>
    <w:rsid w:val="00420E91"/>
    <w:rsid w:val="004217C2"/>
    <w:rsid w:val="00421881"/>
    <w:rsid w:val="00421890"/>
    <w:rsid w:val="00421B00"/>
    <w:rsid w:val="00421B7B"/>
    <w:rsid w:val="00421BF7"/>
    <w:rsid w:val="00421C14"/>
    <w:rsid w:val="00421F2D"/>
    <w:rsid w:val="00421F3D"/>
    <w:rsid w:val="00422100"/>
    <w:rsid w:val="0042214D"/>
    <w:rsid w:val="0042259A"/>
    <w:rsid w:val="0042287F"/>
    <w:rsid w:val="00422A15"/>
    <w:rsid w:val="00423247"/>
    <w:rsid w:val="00423380"/>
    <w:rsid w:val="00423C68"/>
    <w:rsid w:val="004245F9"/>
    <w:rsid w:val="004246E4"/>
    <w:rsid w:val="0042473E"/>
    <w:rsid w:val="004247E1"/>
    <w:rsid w:val="0042489D"/>
    <w:rsid w:val="004248FC"/>
    <w:rsid w:val="00424B6D"/>
    <w:rsid w:val="00424DD6"/>
    <w:rsid w:val="004250CB"/>
    <w:rsid w:val="004252AD"/>
    <w:rsid w:val="0042537F"/>
    <w:rsid w:val="0042546F"/>
    <w:rsid w:val="0042565C"/>
    <w:rsid w:val="004257E1"/>
    <w:rsid w:val="00425E6A"/>
    <w:rsid w:val="00425EC0"/>
    <w:rsid w:val="00425FFC"/>
    <w:rsid w:val="004263EF"/>
    <w:rsid w:val="004268F4"/>
    <w:rsid w:val="00426B49"/>
    <w:rsid w:val="00426C31"/>
    <w:rsid w:val="00427A85"/>
    <w:rsid w:val="00427ED9"/>
    <w:rsid w:val="0043082D"/>
    <w:rsid w:val="00430D11"/>
    <w:rsid w:val="00430F8A"/>
    <w:rsid w:val="00431065"/>
    <w:rsid w:val="004310CA"/>
    <w:rsid w:val="00431A29"/>
    <w:rsid w:val="00431C92"/>
    <w:rsid w:val="00431E90"/>
    <w:rsid w:val="004321B8"/>
    <w:rsid w:val="00432917"/>
    <w:rsid w:val="00432ED1"/>
    <w:rsid w:val="00433041"/>
    <w:rsid w:val="0043308F"/>
    <w:rsid w:val="00433595"/>
    <w:rsid w:val="0043383E"/>
    <w:rsid w:val="004339F4"/>
    <w:rsid w:val="00434C23"/>
    <w:rsid w:val="00434C91"/>
    <w:rsid w:val="00434DDA"/>
    <w:rsid w:val="00434FAC"/>
    <w:rsid w:val="004355A2"/>
    <w:rsid w:val="00435E64"/>
    <w:rsid w:val="004360CD"/>
    <w:rsid w:val="004361E7"/>
    <w:rsid w:val="004364A4"/>
    <w:rsid w:val="00436A4F"/>
    <w:rsid w:val="00436FC2"/>
    <w:rsid w:val="004371A0"/>
    <w:rsid w:val="0043738E"/>
    <w:rsid w:val="0043752F"/>
    <w:rsid w:val="00437632"/>
    <w:rsid w:val="00437988"/>
    <w:rsid w:val="00437A1B"/>
    <w:rsid w:val="00437CD0"/>
    <w:rsid w:val="004400A7"/>
    <w:rsid w:val="0044018A"/>
    <w:rsid w:val="004401DC"/>
    <w:rsid w:val="00440218"/>
    <w:rsid w:val="00440674"/>
    <w:rsid w:val="004407A5"/>
    <w:rsid w:val="00440938"/>
    <w:rsid w:val="00440A28"/>
    <w:rsid w:val="00440C80"/>
    <w:rsid w:val="00440E5E"/>
    <w:rsid w:val="00441126"/>
    <w:rsid w:val="00441204"/>
    <w:rsid w:val="0044159F"/>
    <w:rsid w:val="004416BD"/>
    <w:rsid w:val="00441A8C"/>
    <w:rsid w:val="00442398"/>
    <w:rsid w:val="00442509"/>
    <w:rsid w:val="00442599"/>
    <w:rsid w:val="004426F9"/>
    <w:rsid w:val="00442916"/>
    <w:rsid w:val="00442B04"/>
    <w:rsid w:val="00442D26"/>
    <w:rsid w:val="00442E8E"/>
    <w:rsid w:val="00442F9F"/>
    <w:rsid w:val="004432D9"/>
    <w:rsid w:val="00444007"/>
    <w:rsid w:val="0044403D"/>
    <w:rsid w:val="004444FA"/>
    <w:rsid w:val="00444A39"/>
    <w:rsid w:val="00444B91"/>
    <w:rsid w:val="00444BC8"/>
    <w:rsid w:val="00444D9F"/>
    <w:rsid w:val="00444FED"/>
    <w:rsid w:val="00445631"/>
    <w:rsid w:val="0044578E"/>
    <w:rsid w:val="0044581F"/>
    <w:rsid w:val="00445B61"/>
    <w:rsid w:val="00445C47"/>
    <w:rsid w:val="004464B5"/>
    <w:rsid w:val="00446555"/>
    <w:rsid w:val="00446964"/>
    <w:rsid w:val="004471AE"/>
    <w:rsid w:val="004471F3"/>
    <w:rsid w:val="004473EC"/>
    <w:rsid w:val="00447A1F"/>
    <w:rsid w:val="00447E6B"/>
    <w:rsid w:val="00450070"/>
    <w:rsid w:val="00450D5A"/>
    <w:rsid w:val="0045104B"/>
    <w:rsid w:val="0045107E"/>
    <w:rsid w:val="004515DF"/>
    <w:rsid w:val="00451AB9"/>
    <w:rsid w:val="00451CF8"/>
    <w:rsid w:val="00451E97"/>
    <w:rsid w:val="00452906"/>
    <w:rsid w:val="00452AF4"/>
    <w:rsid w:val="00452F3C"/>
    <w:rsid w:val="004530E0"/>
    <w:rsid w:val="004531FC"/>
    <w:rsid w:val="00453354"/>
    <w:rsid w:val="004534E1"/>
    <w:rsid w:val="0045373F"/>
    <w:rsid w:val="00454094"/>
    <w:rsid w:val="0045487E"/>
    <w:rsid w:val="00454C62"/>
    <w:rsid w:val="00454ED9"/>
    <w:rsid w:val="0045567C"/>
    <w:rsid w:val="004556F3"/>
    <w:rsid w:val="00455A4D"/>
    <w:rsid w:val="00455E13"/>
    <w:rsid w:val="004560FA"/>
    <w:rsid w:val="0045618A"/>
    <w:rsid w:val="004562EC"/>
    <w:rsid w:val="0045665D"/>
    <w:rsid w:val="00456739"/>
    <w:rsid w:val="004568E0"/>
    <w:rsid w:val="00456928"/>
    <w:rsid w:val="00456C91"/>
    <w:rsid w:val="00457158"/>
    <w:rsid w:val="004571C3"/>
    <w:rsid w:val="004578C7"/>
    <w:rsid w:val="00457929"/>
    <w:rsid w:val="00460034"/>
    <w:rsid w:val="004602DC"/>
    <w:rsid w:val="00460439"/>
    <w:rsid w:val="0046092E"/>
    <w:rsid w:val="00460B1F"/>
    <w:rsid w:val="00460BA9"/>
    <w:rsid w:val="00460E76"/>
    <w:rsid w:val="004611BE"/>
    <w:rsid w:val="004612F2"/>
    <w:rsid w:val="00461449"/>
    <w:rsid w:val="0046154E"/>
    <w:rsid w:val="00461551"/>
    <w:rsid w:val="00461617"/>
    <w:rsid w:val="0046197B"/>
    <w:rsid w:val="00461DDE"/>
    <w:rsid w:val="00461E19"/>
    <w:rsid w:val="00461E83"/>
    <w:rsid w:val="00461EC7"/>
    <w:rsid w:val="00462187"/>
    <w:rsid w:val="004622B3"/>
    <w:rsid w:val="004625E5"/>
    <w:rsid w:val="004629D9"/>
    <w:rsid w:val="00462AC3"/>
    <w:rsid w:val="00462CC1"/>
    <w:rsid w:val="00462E98"/>
    <w:rsid w:val="00462F1F"/>
    <w:rsid w:val="00463438"/>
    <w:rsid w:val="0046357D"/>
    <w:rsid w:val="004637DB"/>
    <w:rsid w:val="004637EF"/>
    <w:rsid w:val="004639F1"/>
    <w:rsid w:val="00463A68"/>
    <w:rsid w:val="00463F1E"/>
    <w:rsid w:val="00463FE2"/>
    <w:rsid w:val="004646ED"/>
    <w:rsid w:val="004648DC"/>
    <w:rsid w:val="00464B76"/>
    <w:rsid w:val="00464B8F"/>
    <w:rsid w:val="00464CED"/>
    <w:rsid w:val="0046514B"/>
    <w:rsid w:val="004655BF"/>
    <w:rsid w:val="00465748"/>
    <w:rsid w:val="004657F6"/>
    <w:rsid w:val="004659B3"/>
    <w:rsid w:val="00465ACF"/>
    <w:rsid w:val="00466043"/>
    <w:rsid w:val="004662AE"/>
    <w:rsid w:val="004667A8"/>
    <w:rsid w:val="004667D1"/>
    <w:rsid w:val="00466814"/>
    <w:rsid w:val="00466B99"/>
    <w:rsid w:val="00466CDC"/>
    <w:rsid w:val="00466DEA"/>
    <w:rsid w:val="00467346"/>
    <w:rsid w:val="0046778A"/>
    <w:rsid w:val="00467C75"/>
    <w:rsid w:val="00467EDE"/>
    <w:rsid w:val="00467F11"/>
    <w:rsid w:val="00467FFD"/>
    <w:rsid w:val="004704A7"/>
    <w:rsid w:val="0047054E"/>
    <w:rsid w:val="00470876"/>
    <w:rsid w:val="004708AC"/>
    <w:rsid w:val="00470BE7"/>
    <w:rsid w:val="00470D2C"/>
    <w:rsid w:val="0047119C"/>
    <w:rsid w:val="00471302"/>
    <w:rsid w:val="004713F3"/>
    <w:rsid w:val="004715F6"/>
    <w:rsid w:val="0047174C"/>
    <w:rsid w:val="0047175A"/>
    <w:rsid w:val="0047176A"/>
    <w:rsid w:val="00471906"/>
    <w:rsid w:val="00471B46"/>
    <w:rsid w:val="00471B69"/>
    <w:rsid w:val="00471C7E"/>
    <w:rsid w:val="00471CD3"/>
    <w:rsid w:val="00471E71"/>
    <w:rsid w:val="00472837"/>
    <w:rsid w:val="00472CF0"/>
    <w:rsid w:val="00472E9D"/>
    <w:rsid w:val="004734AB"/>
    <w:rsid w:val="0047367C"/>
    <w:rsid w:val="0047371A"/>
    <w:rsid w:val="00473AA3"/>
    <w:rsid w:val="00473F96"/>
    <w:rsid w:val="0047421D"/>
    <w:rsid w:val="00474770"/>
    <w:rsid w:val="00474993"/>
    <w:rsid w:val="00474A08"/>
    <w:rsid w:val="00474B05"/>
    <w:rsid w:val="00474CBF"/>
    <w:rsid w:val="00475309"/>
    <w:rsid w:val="00475AE7"/>
    <w:rsid w:val="00475C23"/>
    <w:rsid w:val="00475F8F"/>
    <w:rsid w:val="0047614D"/>
    <w:rsid w:val="004766AD"/>
    <w:rsid w:val="00476E9E"/>
    <w:rsid w:val="00476F26"/>
    <w:rsid w:val="0047712E"/>
    <w:rsid w:val="00477320"/>
    <w:rsid w:val="0047760F"/>
    <w:rsid w:val="004778AC"/>
    <w:rsid w:val="00477A3C"/>
    <w:rsid w:val="00477B6D"/>
    <w:rsid w:val="00477C3C"/>
    <w:rsid w:val="00477C7A"/>
    <w:rsid w:val="00477CEA"/>
    <w:rsid w:val="00477E0B"/>
    <w:rsid w:val="00477EAC"/>
    <w:rsid w:val="00480380"/>
    <w:rsid w:val="004807C4"/>
    <w:rsid w:val="00480ABD"/>
    <w:rsid w:val="00480E2B"/>
    <w:rsid w:val="004811F1"/>
    <w:rsid w:val="0048123A"/>
    <w:rsid w:val="0048165A"/>
    <w:rsid w:val="004819C0"/>
    <w:rsid w:val="00481C1C"/>
    <w:rsid w:val="00481D8B"/>
    <w:rsid w:val="00482015"/>
    <w:rsid w:val="00482207"/>
    <w:rsid w:val="00482602"/>
    <w:rsid w:val="004828F9"/>
    <w:rsid w:val="00483994"/>
    <w:rsid w:val="00483C77"/>
    <w:rsid w:val="00484025"/>
    <w:rsid w:val="00484084"/>
    <w:rsid w:val="00484247"/>
    <w:rsid w:val="0048427B"/>
    <w:rsid w:val="004844F7"/>
    <w:rsid w:val="0048466F"/>
    <w:rsid w:val="004847C8"/>
    <w:rsid w:val="00485581"/>
    <w:rsid w:val="00485730"/>
    <w:rsid w:val="00485854"/>
    <w:rsid w:val="004858C0"/>
    <w:rsid w:val="00485CD0"/>
    <w:rsid w:val="0048605F"/>
    <w:rsid w:val="0048649A"/>
    <w:rsid w:val="004866CF"/>
    <w:rsid w:val="00486A77"/>
    <w:rsid w:val="0048715B"/>
    <w:rsid w:val="0048725F"/>
    <w:rsid w:val="0048738F"/>
    <w:rsid w:val="004873E0"/>
    <w:rsid w:val="004875BC"/>
    <w:rsid w:val="00487927"/>
    <w:rsid w:val="004879A4"/>
    <w:rsid w:val="00487A98"/>
    <w:rsid w:val="00487BF6"/>
    <w:rsid w:val="00490423"/>
    <w:rsid w:val="004906E6"/>
    <w:rsid w:val="004907DA"/>
    <w:rsid w:val="00490848"/>
    <w:rsid w:val="00490870"/>
    <w:rsid w:val="00490CC5"/>
    <w:rsid w:val="00490D6C"/>
    <w:rsid w:val="00490D7D"/>
    <w:rsid w:val="00490FEC"/>
    <w:rsid w:val="0049133E"/>
    <w:rsid w:val="004917D4"/>
    <w:rsid w:val="00491B44"/>
    <w:rsid w:val="00491BCC"/>
    <w:rsid w:val="00491DEB"/>
    <w:rsid w:val="0049222B"/>
    <w:rsid w:val="004926F3"/>
    <w:rsid w:val="0049273E"/>
    <w:rsid w:val="00492A08"/>
    <w:rsid w:val="00492E62"/>
    <w:rsid w:val="0049300A"/>
    <w:rsid w:val="00493781"/>
    <w:rsid w:val="004938F9"/>
    <w:rsid w:val="00493ADE"/>
    <w:rsid w:val="00493E63"/>
    <w:rsid w:val="00493F64"/>
    <w:rsid w:val="00494080"/>
    <w:rsid w:val="00494195"/>
    <w:rsid w:val="0049488D"/>
    <w:rsid w:val="00494DE7"/>
    <w:rsid w:val="00494EDF"/>
    <w:rsid w:val="00494F31"/>
    <w:rsid w:val="00495040"/>
    <w:rsid w:val="0049509C"/>
    <w:rsid w:val="00495382"/>
    <w:rsid w:val="004954B2"/>
    <w:rsid w:val="004954B4"/>
    <w:rsid w:val="0049561B"/>
    <w:rsid w:val="00495622"/>
    <w:rsid w:val="0049572A"/>
    <w:rsid w:val="00495856"/>
    <w:rsid w:val="004958A2"/>
    <w:rsid w:val="00495B67"/>
    <w:rsid w:val="00495FB2"/>
    <w:rsid w:val="00496163"/>
    <w:rsid w:val="0049632C"/>
    <w:rsid w:val="004968FA"/>
    <w:rsid w:val="00496A59"/>
    <w:rsid w:val="00496C26"/>
    <w:rsid w:val="00496DC0"/>
    <w:rsid w:val="00496E3F"/>
    <w:rsid w:val="00496F50"/>
    <w:rsid w:val="004970C9"/>
    <w:rsid w:val="00497522"/>
    <w:rsid w:val="004A02E4"/>
    <w:rsid w:val="004A0638"/>
    <w:rsid w:val="004A078F"/>
    <w:rsid w:val="004A0859"/>
    <w:rsid w:val="004A0D73"/>
    <w:rsid w:val="004A0DB5"/>
    <w:rsid w:val="004A0F3D"/>
    <w:rsid w:val="004A1011"/>
    <w:rsid w:val="004A15B5"/>
    <w:rsid w:val="004A17C4"/>
    <w:rsid w:val="004A1E06"/>
    <w:rsid w:val="004A24F7"/>
    <w:rsid w:val="004A2B5E"/>
    <w:rsid w:val="004A2BAF"/>
    <w:rsid w:val="004A2C82"/>
    <w:rsid w:val="004A2CB3"/>
    <w:rsid w:val="004A2CE9"/>
    <w:rsid w:val="004A2D17"/>
    <w:rsid w:val="004A2E1F"/>
    <w:rsid w:val="004A33D3"/>
    <w:rsid w:val="004A3538"/>
    <w:rsid w:val="004A35A1"/>
    <w:rsid w:val="004A38BC"/>
    <w:rsid w:val="004A3945"/>
    <w:rsid w:val="004A3B8C"/>
    <w:rsid w:val="004A3EA4"/>
    <w:rsid w:val="004A3F37"/>
    <w:rsid w:val="004A4307"/>
    <w:rsid w:val="004A446F"/>
    <w:rsid w:val="004A45E8"/>
    <w:rsid w:val="004A4B9F"/>
    <w:rsid w:val="004A4E1D"/>
    <w:rsid w:val="004A53BD"/>
    <w:rsid w:val="004A54D8"/>
    <w:rsid w:val="004A5639"/>
    <w:rsid w:val="004A5692"/>
    <w:rsid w:val="004A5EF6"/>
    <w:rsid w:val="004A60F4"/>
    <w:rsid w:val="004A6101"/>
    <w:rsid w:val="004A65C0"/>
    <w:rsid w:val="004A68EF"/>
    <w:rsid w:val="004A707F"/>
    <w:rsid w:val="004A7508"/>
    <w:rsid w:val="004A7510"/>
    <w:rsid w:val="004A76C6"/>
    <w:rsid w:val="004A786D"/>
    <w:rsid w:val="004A796E"/>
    <w:rsid w:val="004A7B22"/>
    <w:rsid w:val="004A7D60"/>
    <w:rsid w:val="004A7E5F"/>
    <w:rsid w:val="004B03AC"/>
    <w:rsid w:val="004B0458"/>
    <w:rsid w:val="004B053B"/>
    <w:rsid w:val="004B083B"/>
    <w:rsid w:val="004B0A2E"/>
    <w:rsid w:val="004B0EDF"/>
    <w:rsid w:val="004B103E"/>
    <w:rsid w:val="004B1203"/>
    <w:rsid w:val="004B15DC"/>
    <w:rsid w:val="004B197C"/>
    <w:rsid w:val="004B1A76"/>
    <w:rsid w:val="004B1B9C"/>
    <w:rsid w:val="004B1C43"/>
    <w:rsid w:val="004B1CB5"/>
    <w:rsid w:val="004B1ECB"/>
    <w:rsid w:val="004B21E2"/>
    <w:rsid w:val="004B2242"/>
    <w:rsid w:val="004B238A"/>
    <w:rsid w:val="004B2D79"/>
    <w:rsid w:val="004B3281"/>
    <w:rsid w:val="004B36C8"/>
    <w:rsid w:val="004B373A"/>
    <w:rsid w:val="004B41B8"/>
    <w:rsid w:val="004B44A5"/>
    <w:rsid w:val="004B46CD"/>
    <w:rsid w:val="004B48ED"/>
    <w:rsid w:val="004B4983"/>
    <w:rsid w:val="004B4E3C"/>
    <w:rsid w:val="004B50C5"/>
    <w:rsid w:val="004B5461"/>
    <w:rsid w:val="004B5558"/>
    <w:rsid w:val="004B574A"/>
    <w:rsid w:val="004B614B"/>
    <w:rsid w:val="004B63EB"/>
    <w:rsid w:val="004B63F4"/>
    <w:rsid w:val="004B652C"/>
    <w:rsid w:val="004B67A6"/>
    <w:rsid w:val="004B6A3B"/>
    <w:rsid w:val="004B6BC5"/>
    <w:rsid w:val="004B7323"/>
    <w:rsid w:val="004B742A"/>
    <w:rsid w:val="004B7677"/>
    <w:rsid w:val="004B773C"/>
    <w:rsid w:val="004B77C4"/>
    <w:rsid w:val="004B7CF1"/>
    <w:rsid w:val="004C03F8"/>
    <w:rsid w:val="004C0584"/>
    <w:rsid w:val="004C0BF7"/>
    <w:rsid w:val="004C0CC8"/>
    <w:rsid w:val="004C0CF0"/>
    <w:rsid w:val="004C0DD1"/>
    <w:rsid w:val="004C1090"/>
    <w:rsid w:val="004C122D"/>
    <w:rsid w:val="004C1EE9"/>
    <w:rsid w:val="004C1FB8"/>
    <w:rsid w:val="004C218F"/>
    <w:rsid w:val="004C2721"/>
    <w:rsid w:val="004C2742"/>
    <w:rsid w:val="004C2B75"/>
    <w:rsid w:val="004C3004"/>
    <w:rsid w:val="004C3006"/>
    <w:rsid w:val="004C313E"/>
    <w:rsid w:val="004C33CD"/>
    <w:rsid w:val="004C402E"/>
    <w:rsid w:val="004C426A"/>
    <w:rsid w:val="004C42DB"/>
    <w:rsid w:val="004C4405"/>
    <w:rsid w:val="004C4685"/>
    <w:rsid w:val="004C47B6"/>
    <w:rsid w:val="004C49AD"/>
    <w:rsid w:val="004C4C43"/>
    <w:rsid w:val="004C4E91"/>
    <w:rsid w:val="004C5122"/>
    <w:rsid w:val="004C57E2"/>
    <w:rsid w:val="004C5832"/>
    <w:rsid w:val="004C5D4D"/>
    <w:rsid w:val="004C5E7E"/>
    <w:rsid w:val="004C5F4E"/>
    <w:rsid w:val="004C5FA2"/>
    <w:rsid w:val="004C6278"/>
    <w:rsid w:val="004C6480"/>
    <w:rsid w:val="004C65A3"/>
    <w:rsid w:val="004C67D7"/>
    <w:rsid w:val="004C725B"/>
    <w:rsid w:val="004C7308"/>
    <w:rsid w:val="004C78E6"/>
    <w:rsid w:val="004D01CC"/>
    <w:rsid w:val="004D03CF"/>
    <w:rsid w:val="004D06F5"/>
    <w:rsid w:val="004D0756"/>
    <w:rsid w:val="004D0844"/>
    <w:rsid w:val="004D09BE"/>
    <w:rsid w:val="004D09DE"/>
    <w:rsid w:val="004D0A1E"/>
    <w:rsid w:val="004D0C0B"/>
    <w:rsid w:val="004D11F6"/>
    <w:rsid w:val="004D1554"/>
    <w:rsid w:val="004D16A7"/>
    <w:rsid w:val="004D1DB4"/>
    <w:rsid w:val="004D24BE"/>
    <w:rsid w:val="004D27AC"/>
    <w:rsid w:val="004D289A"/>
    <w:rsid w:val="004D2AB1"/>
    <w:rsid w:val="004D2AF0"/>
    <w:rsid w:val="004D2E6E"/>
    <w:rsid w:val="004D3796"/>
    <w:rsid w:val="004D3F0A"/>
    <w:rsid w:val="004D4766"/>
    <w:rsid w:val="004D47CD"/>
    <w:rsid w:val="004D48E1"/>
    <w:rsid w:val="004D4A66"/>
    <w:rsid w:val="004D4F9B"/>
    <w:rsid w:val="004D5244"/>
    <w:rsid w:val="004D56F3"/>
    <w:rsid w:val="004D585E"/>
    <w:rsid w:val="004D5BED"/>
    <w:rsid w:val="004D5EEB"/>
    <w:rsid w:val="004D603C"/>
    <w:rsid w:val="004D6588"/>
    <w:rsid w:val="004D6F8B"/>
    <w:rsid w:val="004D6F8F"/>
    <w:rsid w:val="004D7202"/>
    <w:rsid w:val="004D7287"/>
    <w:rsid w:val="004D764B"/>
    <w:rsid w:val="004D7740"/>
    <w:rsid w:val="004D7AED"/>
    <w:rsid w:val="004D7C1F"/>
    <w:rsid w:val="004D7E2B"/>
    <w:rsid w:val="004E0281"/>
    <w:rsid w:val="004E0A1F"/>
    <w:rsid w:val="004E0BA3"/>
    <w:rsid w:val="004E0CC2"/>
    <w:rsid w:val="004E0DAD"/>
    <w:rsid w:val="004E11D6"/>
    <w:rsid w:val="004E1200"/>
    <w:rsid w:val="004E127F"/>
    <w:rsid w:val="004E1411"/>
    <w:rsid w:val="004E1ABF"/>
    <w:rsid w:val="004E1D73"/>
    <w:rsid w:val="004E2416"/>
    <w:rsid w:val="004E24CB"/>
    <w:rsid w:val="004E26CB"/>
    <w:rsid w:val="004E2C20"/>
    <w:rsid w:val="004E2CA3"/>
    <w:rsid w:val="004E3197"/>
    <w:rsid w:val="004E326F"/>
    <w:rsid w:val="004E3605"/>
    <w:rsid w:val="004E3884"/>
    <w:rsid w:val="004E3BDA"/>
    <w:rsid w:val="004E3EA4"/>
    <w:rsid w:val="004E4074"/>
    <w:rsid w:val="004E4265"/>
    <w:rsid w:val="004E480D"/>
    <w:rsid w:val="004E4891"/>
    <w:rsid w:val="004E5107"/>
    <w:rsid w:val="004E51D2"/>
    <w:rsid w:val="004E52C3"/>
    <w:rsid w:val="004E54CD"/>
    <w:rsid w:val="004E5CA4"/>
    <w:rsid w:val="004E5DBE"/>
    <w:rsid w:val="004E6882"/>
    <w:rsid w:val="004E6A5D"/>
    <w:rsid w:val="004E6D70"/>
    <w:rsid w:val="004E6F02"/>
    <w:rsid w:val="004E7573"/>
    <w:rsid w:val="004E75E8"/>
    <w:rsid w:val="004E76BE"/>
    <w:rsid w:val="004E7DD9"/>
    <w:rsid w:val="004F03AC"/>
    <w:rsid w:val="004F03FE"/>
    <w:rsid w:val="004F0474"/>
    <w:rsid w:val="004F04C0"/>
    <w:rsid w:val="004F0553"/>
    <w:rsid w:val="004F0848"/>
    <w:rsid w:val="004F0AE4"/>
    <w:rsid w:val="004F0B20"/>
    <w:rsid w:val="004F0BED"/>
    <w:rsid w:val="004F0D6E"/>
    <w:rsid w:val="004F0E08"/>
    <w:rsid w:val="004F1682"/>
    <w:rsid w:val="004F16B0"/>
    <w:rsid w:val="004F193D"/>
    <w:rsid w:val="004F1D6F"/>
    <w:rsid w:val="004F26AD"/>
    <w:rsid w:val="004F2BC5"/>
    <w:rsid w:val="004F2E51"/>
    <w:rsid w:val="004F2F94"/>
    <w:rsid w:val="004F36F9"/>
    <w:rsid w:val="004F3A54"/>
    <w:rsid w:val="004F3B21"/>
    <w:rsid w:val="004F3BCA"/>
    <w:rsid w:val="004F425D"/>
    <w:rsid w:val="004F42ED"/>
    <w:rsid w:val="004F4348"/>
    <w:rsid w:val="004F4C41"/>
    <w:rsid w:val="004F4D49"/>
    <w:rsid w:val="004F4DC0"/>
    <w:rsid w:val="004F524F"/>
    <w:rsid w:val="004F5696"/>
    <w:rsid w:val="004F56BD"/>
    <w:rsid w:val="004F582B"/>
    <w:rsid w:val="004F5B84"/>
    <w:rsid w:val="004F5C4D"/>
    <w:rsid w:val="004F617B"/>
    <w:rsid w:val="004F6D87"/>
    <w:rsid w:val="004F73AE"/>
    <w:rsid w:val="004F76CF"/>
    <w:rsid w:val="004F7BB7"/>
    <w:rsid w:val="004F7C58"/>
    <w:rsid w:val="004F7C78"/>
    <w:rsid w:val="00500181"/>
    <w:rsid w:val="00500656"/>
    <w:rsid w:val="0050079D"/>
    <w:rsid w:val="00500F36"/>
    <w:rsid w:val="00501000"/>
    <w:rsid w:val="00501026"/>
    <w:rsid w:val="00501631"/>
    <w:rsid w:val="00501A3F"/>
    <w:rsid w:val="00501A5C"/>
    <w:rsid w:val="00501CD5"/>
    <w:rsid w:val="00501D5B"/>
    <w:rsid w:val="0050204C"/>
    <w:rsid w:val="005025DF"/>
    <w:rsid w:val="00502673"/>
    <w:rsid w:val="00502D34"/>
    <w:rsid w:val="005030B0"/>
    <w:rsid w:val="00503183"/>
    <w:rsid w:val="0050345B"/>
    <w:rsid w:val="005037A6"/>
    <w:rsid w:val="005045C4"/>
    <w:rsid w:val="005047B4"/>
    <w:rsid w:val="005048D2"/>
    <w:rsid w:val="005049CA"/>
    <w:rsid w:val="00504B38"/>
    <w:rsid w:val="00504D93"/>
    <w:rsid w:val="00504E1F"/>
    <w:rsid w:val="00504E47"/>
    <w:rsid w:val="0050576F"/>
    <w:rsid w:val="00505906"/>
    <w:rsid w:val="00505B7E"/>
    <w:rsid w:val="00506027"/>
    <w:rsid w:val="005062CC"/>
    <w:rsid w:val="00506581"/>
    <w:rsid w:val="00506BF9"/>
    <w:rsid w:val="00506C76"/>
    <w:rsid w:val="00507203"/>
    <w:rsid w:val="005074ED"/>
    <w:rsid w:val="00507BB0"/>
    <w:rsid w:val="00507F18"/>
    <w:rsid w:val="00507F7D"/>
    <w:rsid w:val="00507FEB"/>
    <w:rsid w:val="0051027A"/>
    <w:rsid w:val="005106DD"/>
    <w:rsid w:val="005108AB"/>
    <w:rsid w:val="00510A4F"/>
    <w:rsid w:val="00510B40"/>
    <w:rsid w:val="00510DA6"/>
    <w:rsid w:val="00510EEE"/>
    <w:rsid w:val="0051101F"/>
    <w:rsid w:val="00511294"/>
    <w:rsid w:val="0051130A"/>
    <w:rsid w:val="00511404"/>
    <w:rsid w:val="00511AF3"/>
    <w:rsid w:val="00511CE2"/>
    <w:rsid w:val="00511D96"/>
    <w:rsid w:val="00512167"/>
    <w:rsid w:val="005123C6"/>
    <w:rsid w:val="00512636"/>
    <w:rsid w:val="005126E5"/>
    <w:rsid w:val="0051276E"/>
    <w:rsid w:val="00512B19"/>
    <w:rsid w:val="0051316D"/>
    <w:rsid w:val="005132C8"/>
    <w:rsid w:val="005133D1"/>
    <w:rsid w:val="0051349D"/>
    <w:rsid w:val="00513564"/>
    <w:rsid w:val="005135AA"/>
    <w:rsid w:val="00513692"/>
    <w:rsid w:val="0051397B"/>
    <w:rsid w:val="00513A89"/>
    <w:rsid w:val="00513AF1"/>
    <w:rsid w:val="00513CB3"/>
    <w:rsid w:val="00513F68"/>
    <w:rsid w:val="0051408A"/>
    <w:rsid w:val="0051420C"/>
    <w:rsid w:val="00514BB0"/>
    <w:rsid w:val="00514D2F"/>
    <w:rsid w:val="00515290"/>
    <w:rsid w:val="0051532C"/>
    <w:rsid w:val="0051552A"/>
    <w:rsid w:val="005155E8"/>
    <w:rsid w:val="0051574E"/>
    <w:rsid w:val="00515805"/>
    <w:rsid w:val="00515D8D"/>
    <w:rsid w:val="00515DDD"/>
    <w:rsid w:val="00516148"/>
    <w:rsid w:val="00516205"/>
    <w:rsid w:val="005163B6"/>
    <w:rsid w:val="00516A4D"/>
    <w:rsid w:val="00516C8C"/>
    <w:rsid w:val="00516CDD"/>
    <w:rsid w:val="0051723B"/>
    <w:rsid w:val="005179D1"/>
    <w:rsid w:val="00517C84"/>
    <w:rsid w:val="0052075F"/>
    <w:rsid w:val="00520921"/>
    <w:rsid w:val="005212C9"/>
    <w:rsid w:val="00521F33"/>
    <w:rsid w:val="00522036"/>
    <w:rsid w:val="0052268E"/>
    <w:rsid w:val="00522A47"/>
    <w:rsid w:val="00522AE0"/>
    <w:rsid w:val="00522BAA"/>
    <w:rsid w:val="005232BE"/>
    <w:rsid w:val="005238B7"/>
    <w:rsid w:val="00523C13"/>
    <w:rsid w:val="00523D4C"/>
    <w:rsid w:val="00523EDA"/>
    <w:rsid w:val="00523EFC"/>
    <w:rsid w:val="0052403D"/>
    <w:rsid w:val="0052453B"/>
    <w:rsid w:val="00524648"/>
    <w:rsid w:val="00524748"/>
    <w:rsid w:val="005247D8"/>
    <w:rsid w:val="00524927"/>
    <w:rsid w:val="00524A74"/>
    <w:rsid w:val="00524C6C"/>
    <w:rsid w:val="005251DB"/>
    <w:rsid w:val="005252CF"/>
    <w:rsid w:val="00525653"/>
    <w:rsid w:val="00525822"/>
    <w:rsid w:val="00525B60"/>
    <w:rsid w:val="00525BC6"/>
    <w:rsid w:val="00526230"/>
    <w:rsid w:val="0052634C"/>
    <w:rsid w:val="00526548"/>
    <w:rsid w:val="005265AD"/>
    <w:rsid w:val="0052665E"/>
    <w:rsid w:val="005266B7"/>
    <w:rsid w:val="00526958"/>
    <w:rsid w:val="005269DC"/>
    <w:rsid w:val="00526A44"/>
    <w:rsid w:val="00526F89"/>
    <w:rsid w:val="0052710B"/>
    <w:rsid w:val="005271AD"/>
    <w:rsid w:val="00527240"/>
    <w:rsid w:val="00527428"/>
    <w:rsid w:val="0052790A"/>
    <w:rsid w:val="00527E3F"/>
    <w:rsid w:val="00527E44"/>
    <w:rsid w:val="00527F71"/>
    <w:rsid w:val="00530246"/>
    <w:rsid w:val="005306E8"/>
    <w:rsid w:val="00530759"/>
    <w:rsid w:val="005307BD"/>
    <w:rsid w:val="005307DA"/>
    <w:rsid w:val="0053091E"/>
    <w:rsid w:val="00530B0B"/>
    <w:rsid w:val="00531A9A"/>
    <w:rsid w:val="00531BD4"/>
    <w:rsid w:val="00532192"/>
    <w:rsid w:val="00532220"/>
    <w:rsid w:val="00532310"/>
    <w:rsid w:val="005332CB"/>
    <w:rsid w:val="005334D9"/>
    <w:rsid w:val="005335A4"/>
    <w:rsid w:val="0053379D"/>
    <w:rsid w:val="0053429D"/>
    <w:rsid w:val="00534CA1"/>
    <w:rsid w:val="005356D8"/>
    <w:rsid w:val="0053589C"/>
    <w:rsid w:val="00535964"/>
    <w:rsid w:val="00535B42"/>
    <w:rsid w:val="00535CBE"/>
    <w:rsid w:val="00535D17"/>
    <w:rsid w:val="00535D1B"/>
    <w:rsid w:val="005365F6"/>
    <w:rsid w:val="00536703"/>
    <w:rsid w:val="005368B1"/>
    <w:rsid w:val="005369ED"/>
    <w:rsid w:val="00536AEB"/>
    <w:rsid w:val="00536D74"/>
    <w:rsid w:val="00537062"/>
    <w:rsid w:val="005373C4"/>
    <w:rsid w:val="00537689"/>
    <w:rsid w:val="00537874"/>
    <w:rsid w:val="00537AE6"/>
    <w:rsid w:val="00537C17"/>
    <w:rsid w:val="00537C2E"/>
    <w:rsid w:val="00537D2A"/>
    <w:rsid w:val="0054000D"/>
    <w:rsid w:val="00540AC5"/>
    <w:rsid w:val="00540F53"/>
    <w:rsid w:val="005413CA"/>
    <w:rsid w:val="0054171E"/>
    <w:rsid w:val="005417C4"/>
    <w:rsid w:val="00541B5F"/>
    <w:rsid w:val="00541BD7"/>
    <w:rsid w:val="00541D72"/>
    <w:rsid w:val="00541ECD"/>
    <w:rsid w:val="0054212D"/>
    <w:rsid w:val="005427C7"/>
    <w:rsid w:val="00542FFB"/>
    <w:rsid w:val="00543276"/>
    <w:rsid w:val="0054338D"/>
    <w:rsid w:val="00543466"/>
    <w:rsid w:val="005436E0"/>
    <w:rsid w:val="00543798"/>
    <w:rsid w:val="00543ABB"/>
    <w:rsid w:val="00543EA5"/>
    <w:rsid w:val="005441E6"/>
    <w:rsid w:val="00544343"/>
    <w:rsid w:val="005446FA"/>
    <w:rsid w:val="0054491E"/>
    <w:rsid w:val="0054537F"/>
    <w:rsid w:val="00545561"/>
    <w:rsid w:val="00545650"/>
    <w:rsid w:val="0054593F"/>
    <w:rsid w:val="005459A2"/>
    <w:rsid w:val="0054627D"/>
    <w:rsid w:val="005466AA"/>
    <w:rsid w:val="00546F32"/>
    <w:rsid w:val="00547014"/>
    <w:rsid w:val="0054745A"/>
    <w:rsid w:val="0054767F"/>
    <w:rsid w:val="0054784F"/>
    <w:rsid w:val="00547AB0"/>
    <w:rsid w:val="00547BB8"/>
    <w:rsid w:val="00547C9F"/>
    <w:rsid w:val="00547DF6"/>
    <w:rsid w:val="00547E1B"/>
    <w:rsid w:val="00547EC0"/>
    <w:rsid w:val="005505B8"/>
    <w:rsid w:val="00550C23"/>
    <w:rsid w:val="00550D84"/>
    <w:rsid w:val="00551100"/>
    <w:rsid w:val="00551385"/>
    <w:rsid w:val="005514CA"/>
    <w:rsid w:val="00551F4D"/>
    <w:rsid w:val="005520C7"/>
    <w:rsid w:val="00552127"/>
    <w:rsid w:val="005521E7"/>
    <w:rsid w:val="00552457"/>
    <w:rsid w:val="00552A66"/>
    <w:rsid w:val="00552D30"/>
    <w:rsid w:val="005530B5"/>
    <w:rsid w:val="0055325D"/>
    <w:rsid w:val="0055344F"/>
    <w:rsid w:val="00553640"/>
    <w:rsid w:val="005536F9"/>
    <w:rsid w:val="0055381B"/>
    <w:rsid w:val="0055383A"/>
    <w:rsid w:val="00553F43"/>
    <w:rsid w:val="005543E5"/>
    <w:rsid w:val="00554413"/>
    <w:rsid w:val="005547AE"/>
    <w:rsid w:val="00554A3E"/>
    <w:rsid w:val="00554B53"/>
    <w:rsid w:val="00554D75"/>
    <w:rsid w:val="00554E4E"/>
    <w:rsid w:val="005550E3"/>
    <w:rsid w:val="00555146"/>
    <w:rsid w:val="005553A6"/>
    <w:rsid w:val="005556B9"/>
    <w:rsid w:val="0055581A"/>
    <w:rsid w:val="0055589E"/>
    <w:rsid w:val="0055613A"/>
    <w:rsid w:val="00556311"/>
    <w:rsid w:val="0055632E"/>
    <w:rsid w:val="00556D26"/>
    <w:rsid w:val="00556D8D"/>
    <w:rsid w:val="00556DEA"/>
    <w:rsid w:val="00556E64"/>
    <w:rsid w:val="00556FE3"/>
    <w:rsid w:val="0055776D"/>
    <w:rsid w:val="005579B7"/>
    <w:rsid w:val="00557C75"/>
    <w:rsid w:val="0056008C"/>
    <w:rsid w:val="005600D1"/>
    <w:rsid w:val="00560BE3"/>
    <w:rsid w:val="00561029"/>
    <w:rsid w:val="005612AB"/>
    <w:rsid w:val="005612C9"/>
    <w:rsid w:val="00561492"/>
    <w:rsid w:val="00561543"/>
    <w:rsid w:val="00561A9F"/>
    <w:rsid w:val="00561AE2"/>
    <w:rsid w:val="00561E0D"/>
    <w:rsid w:val="00561EB9"/>
    <w:rsid w:val="00561F29"/>
    <w:rsid w:val="005620A4"/>
    <w:rsid w:val="0056216B"/>
    <w:rsid w:val="0056261F"/>
    <w:rsid w:val="0056299C"/>
    <w:rsid w:val="005629A9"/>
    <w:rsid w:val="00562BD9"/>
    <w:rsid w:val="00562D95"/>
    <w:rsid w:val="00562F17"/>
    <w:rsid w:val="00562F4F"/>
    <w:rsid w:val="00562FEC"/>
    <w:rsid w:val="00563EC6"/>
    <w:rsid w:val="0056404F"/>
    <w:rsid w:val="005640CA"/>
    <w:rsid w:val="0056441B"/>
    <w:rsid w:val="00564834"/>
    <w:rsid w:val="00564910"/>
    <w:rsid w:val="0056497D"/>
    <w:rsid w:val="005655AA"/>
    <w:rsid w:val="00565745"/>
    <w:rsid w:val="005657AD"/>
    <w:rsid w:val="00565C50"/>
    <w:rsid w:val="00565D78"/>
    <w:rsid w:val="00565EAD"/>
    <w:rsid w:val="005662BC"/>
    <w:rsid w:val="005666F9"/>
    <w:rsid w:val="00566961"/>
    <w:rsid w:val="00566EA2"/>
    <w:rsid w:val="005670E5"/>
    <w:rsid w:val="00567222"/>
    <w:rsid w:val="00567564"/>
    <w:rsid w:val="005678CF"/>
    <w:rsid w:val="00567A88"/>
    <w:rsid w:val="00567D1D"/>
    <w:rsid w:val="00567D44"/>
    <w:rsid w:val="00567FEB"/>
    <w:rsid w:val="00570290"/>
    <w:rsid w:val="00570350"/>
    <w:rsid w:val="00570831"/>
    <w:rsid w:val="00570C83"/>
    <w:rsid w:val="00570F64"/>
    <w:rsid w:val="00571593"/>
    <w:rsid w:val="005715C8"/>
    <w:rsid w:val="00571B29"/>
    <w:rsid w:val="00572027"/>
    <w:rsid w:val="0057211C"/>
    <w:rsid w:val="00572B80"/>
    <w:rsid w:val="00572BD8"/>
    <w:rsid w:val="00572C46"/>
    <w:rsid w:val="00572FBB"/>
    <w:rsid w:val="00573208"/>
    <w:rsid w:val="00573268"/>
    <w:rsid w:val="00573630"/>
    <w:rsid w:val="005736EF"/>
    <w:rsid w:val="005736F0"/>
    <w:rsid w:val="00573BA8"/>
    <w:rsid w:val="00573E14"/>
    <w:rsid w:val="00573FA2"/>
    <w:rsid w:val="00574104"/>
    <w:rsid w:val="005742D5"/>
    <w:rsid w:val="0057492C"/>
    <w:rsid w:val="00574D34"/>
    <w:rsid w:val="00574F79"/>
    <w:rsid w:val="00575323"/>
    <w:rsid w:val="00575401"/>
    <w:rsid w:val="005757DE"/>
    <w:rsid w:val="00575F5F"/>
    <w:rsid w:val="0057621E"/>
    <w:rsid w:val="005766E1"/>
    <w:rsid w:val="0057705F"/>
    <w:rsid w:val="005774AA"/>
    <w:rsid w:val="005776EF"/>
    <w:rsid w:val="00577A1F"/>
    <w:rsid w:val="00577F29"/>
    <w:rsid w:val="00577FF8"/>
    <w:rsid w:val="00580254"/>
    <w:rsid w:val="005806F0"/>
    <w:rsid w:val="0058077F"/>
    <w:rsid w:val="005807CA"/>
    <w:rsid w:val="00580807"/>
    <w:rsid w:val="005808C5"/>
    <w:rsid w:val="00580A28"/>
    <w:rsid w:val="00580CA7"/>
    <w:rsid w:val="00580D36"/>
    <w:rsid w:val="00580EE8"/>
    <w:rsid w:val="00580F60"/>
    <w:rsid w:val="00581007"/>
    <w:rsid w:val="005812F6"/>
    <w:rsid w:val="00581379"/>
    <w:rsid w:val="0058170A"/>
    <w:rsid w:val="00581847"/>
    <w:rsid w:val="005821AB"/>
    <w:rsid w:val="00582B3C"/>
    <w:rsid w:val="00582DCE"/>
    <w:rsid w:val="00582F29"/>
    <w:rsid w:val="00583303"/>
    <w:rsid w:val="00583C57"/>
    <w:rsid w:val="00583D0D"/>
    <w:rsid w:val="00584032"/>
    <w:rsid w:val="00584039"/>
    <w:rsid w:val="005840CA"/>
    <w:rsid w:val="005843A2"/>
    <w:rsid w:val="0058448F"/>
    <w:rsid w:val="005847EE"/>
    <w:rsid w:val="005847F1"/>
    <w:rsid w:val="005849BE"/>
    <w:rsid w:val="00584A30"/>
    <w:rsid w:val="00584AD5"/>
    <w:rsid w:val="00584B84"/>
    <w:rsid w:val="005854DE"/>
    <w:rsid w:val="00585815"/>
    <w:rsid w:val="00585E0E"/>
    <w:rsid w:val="00585E5D"/>
    <w:rsid w:val="0058606F"/>
    <w:rsid w:val="005861C3"/>
    <w:rsid w:val="00586A4E"/>
    <w:rsid w:val="00586A67"/>
    <w:rsid w:val="00586BEE"/>
    <w:rsid w:val="00587665"/>
    <w:rsid w:val="00587700"/>
    <w:rsid w:val="00587889"/>
    <w:rsid w:val="005878C7"/>
    <w:rsid w:val="00587914"/>
    <w:rsid w:val="00587A00"/>
    <w:rsid w:val="00587BD8"/>
    <w:rsid w:val="00590477"/>
    <w:rsid w:val="00590AA4"/>
    <w:rsid w:val="00590D9F"/>
    <w:rsid w:val="00590E48"/>
    <w:rsid w:val="00591340"/>
    <w:rsid w:val="00591E28"/>
    <w:rsid w:val="005925C9"/>
    <w:rsid w:val="00592679"/>
    <w:rsid w:val="00592789"/>
    <w:rsid w:val="00592B18"/>
    <w:rsid w:val="00592D4A"/>
    <w:rsid w:val="00592F50"/>
    <w:rsid w:val="0059331C"/>
    <w:rsid w:val="00593352"/>
    <w:rsid w:val="00593396"/>
    <w:rsid w:val="00593582"/>
    <w:rsid w:val="00593936"/>
    <w:rsid w:val="00593A62"/>
    <w:rsid w:val="00593B5A"/>
    <w:rsid w:val="00593C10"/>
    <w:rsid w:val="00593D27"/>
    <w:rsid w:val="00593ED9"/>
    <w:rsid w:val="005944CC"/>
    <w:rsid w:val="00594ACD"/>
    <w:rsid w:val="00594E06"/>
    <w:rsid w:val="005953B6"/>
    <w:rsid w:val="005954FC"/>
    <w:rsid w:val="005955A3"/>
    <w:rsid w:val="00595C9F"/>
    <w:rsid w:val="00595D2B"/>
    <w:rsid w:val="005960AC"/>
    <w:rsid w:val="0059655C"/>
    <w:rsid w:val="0059659F"/>
    <w:rsid w:val="00596801"/>
    <w:rsid w:val="00596987"/>
    <w:rsid w:val="00597515"/>
    <w:rsid w:val="005975C9"/>
    <w:rsid w:val="00597603"/>
    <w:rsid w:val="005976CA"/>
    <w:rsid w:val="00597B17"/>
    <w:rsid w:val="00597CC0"/>
    <w:rsid w:val="005A0115"/>
    <w:rsid w:val="005A0179"/>
    <w:rsid w:val="005A05A5"/>
    <w:rsid w:val="005A08DD"/>
    <w:rsid w:val="005A0A97"/>
    <w:rsid w:val="005A0B18"/>
    <w:rsid w:val="005A0DB3"/>
    <w:rsid w:val="005A0F5B"/>
    <w:rsid w:val="005A0FDC"/>
    <w:rsid w:val="005A1248"/>
    <w:rsid w:val="005A190F"/>
    <w:rsid w:val="005A1918"/>
    <w:rsid w:val="005A1B14"/>
    <w:rsid w:val="005A1B58"/>
    <w:rsid w:val="005A1E0A"/>
    <w:rsid w:val="005A1E2C"/>
    <w:rsid w:val="005A1F24"/>
    <w:rsid w:val="005A21EB"/>
    <w:rsid w:val="005A221D"/>
    <w:rsid w:val="005A2538"/>
    <w:rsid w:val="005A2640"/>
    <w:rsid w:val="005A267E"/>
    <w:rsid w:val="005A269C"/>
    <w:rsid w:val="005A2782"/>
    <w:rsid w:val="005A29FA"/>
    <w:rsid w:val="005A2B22"/>
    <w:rsid w:val="005A2D6D"/>
    <w:rsid w:val="005A2EC8"/>
    <w:rsid w:val="005A31F9"/>
    <w:rsid w:val="005A3394"/>
    <w:rsid w:val="005A33EA"/>
    <w:rsid w:val="005A3590"/>
    <w:rsid w:val="005A38BF"/>
    <w:rsid w:val="005A3AC2"/>
    <w:rsid w:val="005A3E9F"/>
    <w:rsid w:val="005A3EE3"/>
    <w:rsid w:val="005A4631"/>
    <w:rsid w:val="005A4694"/>
    <w:rsid w:val="005A4A71"/>
    <w:rsid w:val="005A4C2D"/>
    <w:rsid w:val="005A51A9"/>
    <w:rsid w:val="005A5252"/>
    <w:rsid w:val="005A5910"/>
    <w:rsid w:val="005A5C66"/>
    <w:rsid w:val="005A5CD2"/>
    <w:rsid w:val="005A5DB2"/>
    <w:rsid w:val="005A5F37"/>
    <w:rsid w:val="005A5F8C"/>
    <w:rsid w:val="005A6041"/>
    <w:rsid w:val="005A6611"/>
    <w:rsid w:val="005A6618"/>
    <w:rsid w:val="005A67AD"/>
    <w:rsid w:val="005A6C99"/>
    <w:rsid w:val="005A6D96"/>
    <w:rsid w:val="005A720D"/>
    <w:rsid w:val="005A7629"/>
    <w:rsid w:val="005A7B0B"/>
    <w:rsid w:val="005A7B3B"/>
    <w:rsid w:val="005A7BA0"/>
    <w:rsid w:val="005A7BB9"/>
    <w:rsid w:val="005B03CA"/>
    <w:rsid w:val="005B03F9"/>
    <w:rsid w:val="005B0586"/>
    <w:rsid w:val="005B07A2"/>
    <w:rsid w:val="005B087B"/>
    <w:rsid w:val="005B093E"/>
    <w:rsid w:val="005B0B95"/>
    <w:rsid w:val="005B11A9"/>
    <w:rsid w:val="005B11F0"/>
    <w:rsid w:val="005B129D"/>
    <w:rsid w:val="005B12AB"/>
    <w:rsid w:val="005B14FD"/>
    <w:rsid w:val="005B1CFF"/>
    <w:rsid w:val="005B1E67"/>
    <w:rsid w:val="005B2227"/>
    <w:rsid w:val="005B22BE"/>
    <w:rsid w:val="005B232D"/>
    <w:rsid w:val="005B2332"/>
    <w:rsid w:val="005B2417"/>
    <w:rsid w:val="005B24CE"/>
    <w:rsid w:val="005B25F6"/>
    <w:rsid w:val="005B2BDA"/>
    <w:rsid w:val="005B2CCD"/>
    <w:rsid w:val="005B303D"/>
    <w:rsid w:val="005B3083"/>
    <w:rsid w:val="005B32A2"/>
    <w:rsid w:val="005B3EA6"/>
    <w:rsid w:val="005B40B6"/>
    <w:rsid w:val="005B418F"/>
    <w:rsid w:val="005B4217"/>
    <w:rsid w:val="005B427B"/>
    <w:rsid w:val="005B4590"/>
    <w:rsid w:val="005B4678"/>
    <w:rsid w:val="005B50F9"/>
    <w:rsid w:val="005B51EC"/>
    <w:rsid w:val="005B55D5"/>
    <w:rsid w:val="005B5619"/>
    <w:rsid w:val="005B5823"/>
    <w:rsid w:val="005B5849"/>
    <w:rsid w:val="005B598C"/>
    <w:rsid w:val="005B5FC1"/>
    <w:rsid w:val="005B6785"/>
    <w:rsid w:val="005B67E2"/>
    <w:rsid w:val="005B6843"/>
    <w:rsid w:val="005B750D"/>
    <w:rsid w:val="005B7893"/>
    <w:rsid w:val="005B7A3E"/>
    <w:rsid w:val="005B7BED"/>
    <w:rsid w:val="005B7DBC"/>
    <w:rsid w:val="005B7DFA"/>
    <w:rsid w:val="005B7EC5"/>
    <w:rsid w:val="005C02D6"/>
    <w:rsid w:val="005C042C"/>
    <w:rsid w:val="005C0ECB"/>
    <w:rsid w:val="005C12B0"/>
    <w:rsid w:val="005C1596"/>
    <w:rsid w:val="005C190C"/>
    <w:rsid w:val="005C191B"/>
    <w:rsid w:val="005C1F0C"/>
    <w:rsid w:val="005C2427"/>
    <w:rsid w:val="005C25C3"/>
    <w:rsid w:val="005C2834"/>
    <w:rsid w:val="005C2C77"/>
    <w:rsid w:val="005C322B"/>
    <w:rsid w:val="005C346C"/>
    <w:rsid w:val="005C3628"/>
    <w:rsid w:val="005C36D4"/>
    <w:rsid w:val="005C3B08"/>
    <w:rsid w:val="005C3E66"/>
    <w:rsid w:val="005C41DE"/>
    <w:rsid w:val="005C42C5"/>
    <w:rsid w:val="005C4579"/>
    <w:rsid w:val="005C45FC"/>
    <w:rsid w:val="005C4A9B"/>
    <w:rsid w:val="005C4A9D"/>
    <w:rsid w:val="005C4BD1"/>
    <w:rsid w:val="005C4C60"/>
    <w:rsid w:val="005C4CD1"/>
    <w:rsid w:val="005C5091"/>
    <w:rsid w:val="005C51A8"/>
    <w:rsid w:val="005C5445"/>
    <w:rsid w:val="005C5A19"/>
    <w:rsid w:val="005C5AD2"/>
    <w:rsid w:val="005C5E95"/>
    <w:rsid w:val="005C638A"/>
    <w:rsid w:val="005C65A6"/>
    <w:rsid w:val="005C672B"/>
    <w:rsid w:val="005C69B6"/>
    <w:rsid w:val="005C6AB8"/>
    <w:rsid w:val="005C6AE9"/>
    <w:rsid w:val="005C6B13"/>
    <w:rsid w:val="005C6C80"/>
    <w:rsid w:val="005C71ED"/>
    <w:rsid w:val="005C72A3"/>
    <w:rsid w:val="005C787A"/>
    <w:rsid w:val="005C7AB2"/>
    <w:rsid w:val="005D0176"/>
    <w:rsid w:val="005D0274"/>
    <w:rsid w:val="005D028D"/>
    <w:rsid w:val="005D05DD"/>
    <w:rsid w:val="005D05EF"/>
    <w:rsid w:val="005D07BB"/>
    <w:rsid w:val="005D0E80"/>
    <w:rsid w:val="005D101A"/>
    <w:rsid w:val="005D1058"/>
    <w:rsid w:val="005D13C4"/>
    <w:rsid w:val="005D1609"/>
    <w:rsid w:val="005D17B8"/>
    <w:rsid w:val="005D17D0"/>
    <w:rsid w:val="005D19BE"/>
    <w:rsid w:val="005D1A41"/>
    <w:rsid w:val="005D1F7A"/>
    <w:rsid w:val="005D2030"/>
    <w:rsid w:val="005D224D"/>
    <w:rsid w:val="005D22B1"/>
    <w:rsid w:val="005D3285"/>
    <w:rsid w:val="005D3520"/>
    <w:rsid w:val="005D3B4B"/>
    <w:rsid w:val="005D3D0E"/>
    <w:rsid w:val="005D40BE"/>
    <w:rsid w:val="005D424C"/>
    <w:rsid w:val="005D450F"/>
    <w:rsid w:val="005D4702"/>
    <w:rsid w:val="005D4B41"/>
    <w:rsid w:val="005D4C71"/>
    <w:rsid w:val="005D4CB7"/>
    <w:rsid w:val="005D4D26"/>
    <w:rsid w:val="005D5509"/>
    <w:rsid w:val="005D5A66"/>
    <w:rsid w:val="005D5DB7"/>
    <w:rsid w:val="005D6020"/>
    <w:rsid w:val="005D63A7"/>
    <w:rsid w:val="005D67C8"/>
    <w:rsid w:val="005D67D2"/>
    <w:rsid w:val="005D6BF9"/>
    <w:rsid w:val="005D6FAF"/>
    <w:rsid w:val="005D76F4"/>
    <w:rsid w:val="005E0050"/>
    <w:rsid w:val="005E04C5"/>
    <w:rsid w:val="005E0BEF"/>
    <w:rsid w:val="005E0BF3"/>
    <w:rsid w:val="005E0E44"/>
    <w:rsid w:val="005E0F5C"/>
    <w:rsid w:val="005E14F4"/>
    <w:rsid w:val="005E1683"/>
    <w:rsid w:val="005E1720"/>
    <w:rsid w:val="005E21A7"/>
    <w:rsid w:val="005E289F"/>
    <w:rsid w:val="005E2A26"/>
    <w:rsid w:val="005E2A7E"/>
    <w:rsid w:val="005E2C96"/>
    <w:rsid w:val="005E2CA8"/>
    <w:rsid w:val="005E32E0"/>
    <w:rsid w:val="005E376B"/>
    <w:rsid w:val="005E3E71"/>
    <w:rsid w:val="005E4152"/>
    <w:rsid w:val="005E457D"/>
    <w:rsid w:val="005E4706"/>
    <w:rsid w:val="005E4846"/>
    <w:rsid w:val="005E53B8"/>
    <w:rsid w:val="005E58B0"/>
    <w:rsid w:val="005E5BB8"/>
    <w:rsid w:val="005E5E49"/>
    <w:rsid w:val="005E5F66"/>
    <w:rsid w:val="005E63F1"/>
    <w:rsid w:val="005E6769"/>
    <w:rsid w:val="005E6F44"/>
    <w:rsid w:val="005E7A3E"/>
    <w:rsid w:val="005E7F29"/>
    <w:rsid w:val="005F00E0"/>
    <w:rsid w:val="005F0924"/>
    <w:rsid w:val="005F0A97"/>
    <w:rsid w:val="005F0E6F"/>
    <w:rsid w:val="005F10E8"/>
    <w:rsid w:val="005F1465"/>
    <w:rsid w:val="005F169B"/>
    <w:rsid w:val="005F16A5"/>
    <w:rsid w:val="005F17DF"/>
    <w:rsid w:val="005F1810"/>
    <w:rsid w:val="005F18F5"/>
    <w:rsid w:val="005F206A"/>
    <w:rsid w:val="005F20F7"/>
    <w:rsid w:val="005F237D"/>
    <w:rsid w:val="005F248B"/>
    <w:rsid w:val="005F277B"/>
    <w:rsid w:val="005F33A0"/>
    <w:rsid w:val="005F33BE"/>
    <w:rsid w:val="005F3650"/>
    <w:rsid w:val="005F3BB4"/>
    <w:rsid w:val="005F3E73"/>
    <w:rsid w:val="005F3FEF"/>
    <w:rsid w:val="005F407A"/>
    <w:rsid w:val="005F44D2"/>
    <w:rsid w:val="005F45BD"/>
    <w:rsid w:val="005F49D1"/>
    <w:rsid w:val="005F4D2A"/>
    <w:rsid w:val="005F4EA4"/>
    <w:rsid w:val="005F539D"/>
    <w:rsid w:val="005F566B"/>
    <w:rsid w:val="005F56DE"/>
    <w:rsid w:val="005F586A"/>
    <w:rsid w:val="005F5C05"/>
    <w:rsid w:val="005F5C26"/>
    <w:rsid w:val="005F6273"/>
    <w:rsid w:val="005F6601"/>
    <w:rsid w:val="005F665F"/>
    <w:rsid w:val="005F679A"/>
    <w:rsid w:val="005F68D0"/>
    <w:rsid w:val="005F6BA0"/>
    <w:rsid w:val="005F6BA8"/>
    <w:rsid w:val="005F6FD2"/>
    <w:rsid w:val="005F7055"/>
    <w:rsid w:val="005F7134"/>
    <w:rsid w:val="005F7308"/>
    <w:rsid w:val="005F75A9"/>
    <w:rsid w:val="005F75E7"/>
    <w:rsid w:val="005F77A9"/>
    <w:rsid w:val="005F7B90"/>
    <w:rsid w:val="005F7C7B"/>
    <w:rsid w:val="005F7E6A"/>
    <w:rsid w:val="00600175"/>
    <w:rsid w:val="006007BD"/>
    <w:rsid w:val="00600F32"/>
    <w:rsid w:val="00600FBD"/>
    <w:rsid w:val="00600FF6"/>
    <w:rsid w:val="00601475"/>
    <w:rsid w:val="006015A1"/>
    <w:rsid w:val="006017C2"/>
    <w:rsid w:val="006019A2"/>
    <w:rsid w:val="00602231"/>
    <w:rsid w:val="0060232E"/>
    <w:rsid w:val="006023BB"/>
    <w:rsid w:val="0060282E"/>
    <w:rsid w:val="006029CB"/>
    <w:rsid w:val="00602E59"/>
    <w:rsid w:val="00602F2C"/>
    <w:rsid w:val="0060350E"/>
    <w:rsid w:val="00603621"/>
    <w:rsid w:val="006038E3"/>
    <w:rsid w:val="00603DAC"/>
    <w:rsid w:val="00603E3B"/>
    <w:rsid w:val="0060401C"/>
    <w:rsid w:val="006041F0"/>
    <w:rsid w:val="006049F6"/>
    <w:rsid w:val="00604BCB"/>
    <w:rsid w:val="00604D60"/>
    <w:rsid w:val="00605029"/>
    <w:rsid w:val="00605378"/>
    <w:rsid w:val="006055CC"/>
    <w:rsid w:val="006057E3"/>
    <w:rsid w:val="0060581C"/>
    <w:rsid w:val="0060586C"/>
    <w:rsid w:val="00605C54"/>
    <w:rsid w:val="00606067"/>
    <w:rsid w:val="006064A3"/>
    <w:rsid w:val="006068BD"/>
    <w:rsid w:val="006068D4"/>
    <w:rsid w:val="00606954"/>
    <w:rsid w:val="00607466"/>
    <w:rsid w:val="006075F5"/>
    <w:rsid w:val="00607600"/>
    <w:rsid w:val="00607857"/>
    <w:rsid w:val="00607AEA"/>
    <w:rsid w:val="00607D18"/>
    <w:rsid w:val="00607F0A"/>
    <w:rsid w:val="00610161"/>
    <w:rsid w:val="00610162"/>
    <w:rsid w:val="006102BC"/>
    <w:rsid w:val="006102CE"/>
    <w:rsid w:val="00610654"/>
    <w:rsid w:val="006107DF"/>
    <w:rsid w:val="0061086C"/>
    <w:rsid w:val="00610973"/>
    <w:rsid w:val="00610EA2"/>
    <w:rsid w:val="006113F0"/>
    <w:rsid w:val="00611498"/>
    <w:rsid w:val="00611BB5"/>
    <w:rsid w:val="00611EE3"/>
    <w:rsid w:val="00611F8C"/>
    <w:rsid w:val="0061216E"/>
    <w:rsid w:val="00612262"/>
    <w:rsid w:val="006123DB"/>
    <w:rsid w:val="0061273D"/>
    <w:rsid w:val="006127A7"/>
    <w:rsid w:val="00612BD2"/>
    <w:rsid w:val="00612C5D"/>
    <w:rsid w:val="00612D3E"/>
    <w:rsid w:val="00613101"/>
    <w:rsid w:val="0061340B"/>
    <w:rsid w:val="0061367E"/>
    <w:rsid w:val="00613A22"/>
    <w:rsid w:val="00613CF7"/>
    <w:rsid w:val="00613E78"/>
    <w:rsid w:val="0061414C"/>
    <w:rsid w:val="0061416D"/>
    <w:rsid w:val="00614374"/>
    <w:rsid w:val="00614502"/>
    <w:rsid w:val="0061463C"/>
    <w:rsid w:val="00614680"/>
    <w:rsid w:val="00614F72"/>
    <w:rsid w:val="0061569F"/>
    <w:rsid w:val="00615AF5"/>
    <w:rsid w:val="006164AD"/>
    <w:rsid w:val="006166A1"/>
    <w:rsid w:val="00616C66"/>
    <w:rsid w:val="00616FCA"/>
    <w:rsid w:val="0061704F"/>
    <w:rsid w:val="006171E1"/>
    <w:rsid w:val="00617206"/>
    <w:rsid w:val="006172BA"/>
    <w:rsid w:val="006172CD"/>
    <w:rsid w:val="006175A7"/>
    <w:rsid w:val="00617AE2"/>
    <w:rsid w:val="00617C60"/>
    <w:rsid w:val="00617F91"/>
    <w:rsid w:val="00617F97"/>
    <w:rsid w:val="006204DE"/>
    <w:rsid w:val="00620559"/>
    <w:rsid w:val="00620891"/>
    <w:rsid w:val="0062151C"/>
    <w:rsid w:val="0062158C"/>
    <w:rsid w:val="00621FBA"/>
    <w:rsid w:val="0062212D"/>
    <w:rsid w:val="006221C2"/>
    <w:rsid w:val="006221E0"/>
    <w:rsid w:val="0062257D"/>
    <w:rsid w:val="00622620"/>
    <w:rsid w:val="006227BC"/>
    <w:rsid w:val="00622B62"/>
    <w:rsid w:val="00622D40"/>
    <w:rsid w:val="00622EC3"/>
    <w:rsid w:val="00623014"/>
    <w:rsid w:val="0062372A"/>
    <w:rsid w:val="006239F3"/>
    <w:rsid w:val="00623B8C"/>
    <w:rsid w:val="00623BEF"/>
    <w:rsid w:val="006247CA"/>
    <w:rsid w:val="00624D0C"/>
    <w:rsid w:val="00625034"/>
    <w:rsid w:val="006252C9"/>
    <w:rsid w:val="00625355"/>
    <w:rsid w:val="00625477"/>
    <w:rsid w:val="00625919"/>
    <w:rsid w:val="0062594E"/>
    <w:rsid w:val="00625A13"/>
    <w:rsid w:val="00625BA6"/>
    <w:rsid w:val="00625E65"/>
    <w:rsid w:val="00626188"/>
    <w:rsid w:val="0062639E"/>
    <w:rsid w:val="0062661B"/>
    <w:rsid w:val="0062666A"/>
    <w:rsid w:val="006266A7"/>
    <w:rsid w:val="00626A3D"/>
    <w:rsid w:val="00626C05"/>
    <w:rsid w:val="00626FD0"/>
    <w:rsid w:val="00626FFD"/>
    <w:rsid w:val="00627160"/>
    <w:rsid w:val="00627174"/>
    <w:rsid w:val="006275DE"/>
    <w:rsid w:val="00627735"/>
    <w:rsid w:val="00627A31"/>
    <w:rsid w:val="00627B9F"/>
    <w:rsid w:val="00627CDD"/>
    <w:rsid w:val="00627E7C"/>
    <w:rsid w:val="0063027A"/>
    <w:rsid w:val="0063037E"/>
    <w:rsid w:val="0063052E"/>
    <w:rsid w:val="006306BC"/>
    <w:rsid w:val="00630E9F"/>
    <w:rsid w:val="0063169E"/>
    <w:rsid w:val="00631AE3"/>
    <w:rsid w:val="00632030"/>
    <w:rsid w:val="0063210D"/>
    <w:rsid w:val="00632441"/>
    <w:rsid w:val="006329B1"/>
    <w:rsid w:val="00632C5E"/>
    <w:rsid w:val="006331DE"/>
    <w:rsid w:val="006333CF"/>
    <w:rsid w:val="006333DB"/>
    <w:rsid w:val="006334F6"/>
    <w:rsid w:val="00633606"/>
    <w:rsid w:val="006338D0"/>
    <w:rsid w:val="00633B5A"/>
    <w:rsid w:val="00633EA2"/>
    <w:rsid w:val="0063426C"/>
    <w:rsid w:val="00634282"/>
    <w:rsid w:val="00634739"/>
    <w:rsid w:val="00634895"/>
    <w:rsid w:val="00634A52"/>
    <w:rsid w:val="00634F77"/>
    <w:rsid w:val="00635182"/>
    <w:rsid w:val="0063581F"/>
    <w:rsid w:val="00635A14"/>
    <w:rsid w:val="00635C6A"/>
    <w:rsid w:val="00635FF7"/>
    <w:rsid w:val="006366FE"/>
    <w:rsid w:val="00636800"/>
    <w:rsid w:val="00636957"/>
    <w:rsid w:val="00636A0D"/>
    <w:rsid w:val="00636DBF"/>
    <w:rsid w:val="0063736D"/>
    <w:rsid w:val="006377E1"/>
    <w:rsid w:val="006377E7"/>
    <w:rsid w:val="00637880"/>
    <w:rsid w:val="00637F4A"/>
    <w:rsid w:val="006405C3"/>
    <w:rsid w:val="006407AE"/>
    <w:rsid w:val="006408FC"/>
    <w:rsid w:val="00640BB0"/>
    <w:rsid w:val="00641168"/>
    <w:rsid w:val="006419E3"/>
    <w:rsid w:val="00641C97"/>
    <w:rsid w:val="00641CC6"/>
    <w:rsid w:val="00641CCC"/>
    <w:rsid w:val="00641D60"/>
    <w:rsid w:val="006422F5"/>
    <w:rsid w:val="006422FA"/>
    <w:rsid w:val="0064242B"/>
    <w:rsid w:val="00642509"/>
    <w:rsid w:val="0064264C"/>
    <w:rsid w:val="006428F6"/>
    <w:rsid w:val="0064298A"/>
    <w:rsid w:val="00642DAB"/>
    <w:rsid w:val="00642E0C"/>
    <w:rsid w:val="00642F3B"/>
    <w:rsid w:val="006430C3"/>
    <w:rsid w:val="00643223"/>
    <w:rsid w:val="00643252"/>
    <w:rsid w:val="006434AA"/>
    <w:rsid w:val="00643744"/>
    <w:rsid w:val="006438F9"/>
    <w:rsid w:val="006439EA"/>
    <w:rsid w:val="00643D1B"/>
    <w:rsid w:val="00643DE3"/>
    <w:rsid w:val="00643E39"/>
    <w:rsid w:val="00643F2F"/>
    <w:rsid w:val="00644080"/>
    <w:rsid w:val="00644CC8"/>
    <w:rsid w:val="006452FC"/>
    <w:rsid w:val="00645C7A"/>
    <w:rsid w:val="00646569"/>
    <w:rsid w:val="006465AA"/>
    <w:rsid w:val="00646971"/>
    <w:rsid w:val="00646CA6"/>
    <w:rsid w:val="00646E97"/>
    <w:rsid w:val="006471ED"/>
    <w:rsid w:val="006475A1"/>
    <w:rsid w:val="00647B15"/>
    <w:rsid w:val="00647BD9"/>
    <w:rsid w:val="0065052E"/>
    <w:rsid w:val="006505C6"/>
    <w:rsid w:val="00650697"/>
    <w:rsid w:val="00650852"/>
    <w:rsid w:val="006509A4"/>
    <w:rsid w:val="00650ACF"/>
    <w:rsid w:val="00650E43"/>
    <w:rsid w:val="00650E5A"/>
    <w:rsid w:val="00650E67"/>
    <w:rsid w:val="006515AE"/>
    <w:rsid w:val="006515C1"/>
    <w:rsid w:val="00651620"/>
    <w:rsid w:val="00651A52"/>
    <w:rsid w:val="00651FAC"/>
    <w:rsid w:val="006520E9"/>
    <w:rsid w:val="006523A8"/>
    <w:rsid w:val="00652664"/>
    <w:rsid w:val="00652745"/>
    <w:rsid w:val="006528BD"/>
    <w:rsid w:val="00653190"/>
    <w:rsid w:val="0065334A"/>
    <w:rsid w:val="006539B1"/>
    <w:rsid w:val="00653B50"/>
    <w:rsid w:val="00654033"/>
    <w:rsid w:val="0065403E"/>
    <w:rsid w:val="00654240"/>
    <w:rsid w:val="006545F5"/>
    <w:rsid w:val="00654CF1"/>
    <w:rsid w:val="00654F64"/>
    <w:rsid w:val="006552B5"/>
    <w:rsid w:val="0065533B"/>
    <w:rsid w:val="00655827"/>
    <w:rsid w:val="00656121"/>
    <w:rsid w:val="00656278"/>
    <w:rsid w:val="006563E0"/>
    <w:rsid w:val="00656585"/>
    <w:rsid w:val="00656954"/>
    <w:rsid w:val="00656D69"/>
    <w:rsid w:val="00656F76"/>
    <w:rsid w:val="0065713A"/>
    <w:rsid w:val="00657222"/>
    <w:rsid w:val="0065776E"/>
    <w:rsid w:val="006577BD"/>
    <w:rsid w:val="00657C6C"/>
    <w:rsid w:val="006602F1"/>
    <w:rsid w:val="0066045A"/>
    <w:rsid w:val="0066067B"/>
    <w:rsid w:val="006606EA"/>
    <w:rsid w:val="00660810"/>
    <w:rsid w:val="00660F0A"/>
    <w:rsid w:val="00660F6F"/>
    <w:rsid w:val="006612D1"/>
    <w:rsid w:val="0066131C"/>
    <w:rsid w:val="0066133B"/>
    <w:rsid w:val="006616EF"/>
    <w:rsid w:val="00661837"/>
    <w:rsid w:val="00661AF3"/>
    <w:rsid w:val="00661E99"/>
    <w:rsid w:val="00662066"/>
    <w:rsid w:val="00662099"/>
    <w:rsid w:val="0066257F"/>
    <w:rsid w:val="0066325B"/>
    <w:rsid w:val="006633F9"/>
    <w:rsid w:val="006634BF"/>
    <w:rsid w:val="0066363C"/>
    <w:rsid w:val="0066383A"/>
    <w:rsid w:val="00663C72"/>
    <w:rsid w:val="00663E90"/>
    <w:rsid w:val="00663EE8"/>
    <w:rsid w:val="00663EEE"/>
    <w:rsid w:val="006646DB"/>
    <w:rsid w:val="00664BBA"/>
    <w:rsid w:val="00664C77"/>
    <w:rsid w:val="00665004"/>
    <w:rsid w:val="00665287"/>
    <w:rsid w:val="006654C1"/>
    <w:rsid w:val="006654CA"/>
    <w:rsid w:val="0066583E"/>
    <w:rsid w:val="00665927"/>
    <w:rsid w:val="00665D5C"/>
    <w:rsid w:val="0066621F"/>
    <w:rsid w:val="0066638E"/>
    <w:rsid w:val="006663AA"/>
    <w:rsid w:val="00666B7F"/>
    <w:rsid w:val="00666DD0"/>
    <w:rsid w:val="006671F3"/>
    <w:rsid w:val="00667505"/>
    <w:rsid w:val="00667C78"/>
    <w:rsid w:val="00667D9E"/>
    <w:rsid w:val="00667DFC"/>
    <w:rsid w:val="00667F5F"/>
    <w:rsid w:val="006700EB"/>
    <w:rsid w:val="00670563"/>
    <w:rsid w:val="00670612"/>
    <w:rsid w:val="0067063B"/>
    <w:rsid w:val="00670A9D"/>
    <w:rsid w:val="00670CB6"/>
    <w:rsid w:val="00670E73"/>
    <w:rsid w:val="0067107B"/>
    <w:rsid w:val="006710E5"/>
    <w:rsid w:val="006712CF"/>
    <w:rsid w:val="00671847"/>
    <w:rsid w:val="00671C61"/>
    <w:rsid w:val="00671D82"/>
    <w:rsid w:val="00671DE0"/>
    <w:rsid w:val="006722FD"/>
    <w:rsid w:val="00672474"/>
    <w:rsid w:val="00672573"/>
    <w:rsid w:val="006725F2"/>
    <w:rsid w:val="00672648"/>
    <w:rsid w:val="006726B2"/>
    <w:rsid w:val="0067275B"/>
    <w:rsid w:val="006729D9"/>
    <w:rsid w:val="00672A14"/>
    <w:rsid w:val="00672A55"/>
    <w:rsid w:val="00672CF0"/>
    <w:rsid w:val="00672FD6"/>
    <w:rsid w:val="006733D4"/>
    <w:rsid w:val="0067364C"/>
    <w:rsid w:val="006736C5"/>
    <w:rsid w:val="0067371A"/>
    <w:rsid w:val="00673831"/>
    <w:rsid w:val="00673890"/>
    <w:rsid w:val="00673AE7"/>
    <w:rsid w:val="00673AE8"/>
    <w:rsid w:val="00673B02"/>
    <w:rsid w:val="00673C79"/>
    <w:rsid w:val="00674501"/>
    <w:rsid w:val="00674691"/>
    <w:rsid w:val="0067492F"/>
    <w:rsid w:val="00674973"/>
    <w:rsid w:val="00674BAF"/>
    <w:rsid w:val="00674E77"/>
    <w:rsid w:val="006751F8"/>
    <w:rsid w:val="006754AF"/>
    <w:rsid w:val="006759C7"/>
    <w:rsid w:val="00675CD5"/>
    <w:rsid w:val="0067622F"/>
    <w:rsid w:val="0067657A"/>
    <w:rsid w:val="006765F2"/>
    <w:rsid w:val="00676791"/>
    <w:rsid w:val="00676B98"/>
    <w:rsid w:val="00676BAE"/>
    <w:rsid w:val="00676C8B"/>
    <w:rsid w:val="0067774A"/>
    <w:rsid w:val="00677969"/>
    <w:rsid w:val="00677CC1"/>
    <w:rsid w:val="00680404"/>
    <w:rsid w:val="0068040E"/>
    <w:rsid w:val="00680675"/>
    <w:rsid w:val="00680871"/>
    <w:rsid w:val="006808D4"/>
    <w:rsid w:val="00680D98"/>
    <w:rsid w:val="00680EAC"/>
    <w:rsid w:val="00680F56"/>
    <w:rsid w:val="00680FD0"/>
    <w:rsid w:val="006811E4"/>
    <w:rsid w:val="0068142F"/>
    <w:rsid w:val="0068156A"/>
    <w:rsid w:val="00681D45"/>
    <w:rsid w:val="00682201"/>
    <w:rsid w:val="00682550"/>
    <w:rsid w:val="00682A5D"/>
    <w:rsid w:val="00682B97"/>
    <w:rsid w:val="00682E94"/>
    <w:rsid w:val="00682EE5"/>
    <w:rsid w:val="0068327B"/>
    <w:rsid w:val="0068336C"/>
    <w:rsid w:val="0068346D"/>
    <w:rsid w:val="00683994"/>
    <w:rsid w:val="00683B4C"/>
    <w:rsid w:val="00683C92"/>
    <w:rsid w:val="00683D07"/>
    <w:rsid w:val="00683EA3"/>
    <w:rsid w:val="00684603"/>
    <w:rsid w:val="0068481D"/>
    <w:rsid w:val="006859DC"/>
    <w:rsid w:val="00685A59"/>
    <w:rsid w:val="00685CE4"/>
    <w:rsid w:val="006861C3"/>
    <w:rsid w:val="00686296"/>
    <w:rsid w:val="00686408"/>
    <w:rsid w:val="006864E9"/>
    <w:rsid w:val="0068675D"/>
    <w:rsid w:val="006868E4"/>
    <w:rsid w:val="00686AA6"/>
    <w:rsid w:val="00686D2D"/>
    <w:rsid w:val="00687130"/>
    <w:rsid w:val="006872F4"/>
    <w:rsid w:val="0068766A"/>
    <w:rsid w:val="0068795B"/>
    <w:rsid w:val="006879E3"/>
    <w:rsid w:val="00687F2B"/>
    <w:rsid w:val="00687F34"/>
    <w:rsid w:val="00690595"/>
    <w:rsid w:val="0069072A"/>
    <w:rsid w:val="00690899"/>
    <w:rsid w:val="006908DA"/>
    <w:rsid w:val="00690A5A"/>
    <w:rsid w:val="00690D4A"/>
    <w:rsid w:val="00690D6C"/>
    <w:rsid w:val="00691148"/>
    <w:rsid w:val="00691189"/>
    <w:rsid w:val="00691684"/>
    <w:rsid w:val="00691A34"/>
    <w:rsid w:val="00691C8E"/>
    <w:rsid w:val="0069219B"/>
    <w:rsid w:val="00692B04"/>
    <w:rsid w:val="00692C31"/>
    <w:rsid w:val="00692F13"/>
    <w:rsid w:val="006934FF"/>
    <w:rsid w:val="00693557"/>
    <w:rsid w:val="00693686"/>
    <w:rsid w:val="00693787"/>
    <w:rsid w:val="00693875"/>
    <w:rsid w:val="0069390B"/>
    <w:rsid w:val="00693921"/>
    <w:rsid w:val="00693A6B"/>
    <w:rsid w:val="00693B8F"/>
    <w:rsid w:val="0069418F"/>
    <w:rsid w:val="00694316"/>
    <w:rsid w:val="00694544"/>
    <w:rsid w:val="00694671"/>
    <w:rsid w:val="00694B96"/>
    <w:rsid w:val="00694C68"/>
    <w:rsid w:val="00694C82"/>
    <w:rsid w:val="00694C94"/>
    <w:rsid w:val="00694DA1"/>
    <w:rsid w:val="00694E0B"/>
    <w:rsid w:val="00694F9B"/>
    <w:rsid w:val="006951BF"/>
    <w:rsid w:val="00695375"/>
    <w:rsid w:val="006954C0"/>
    <w:rsid w:val="00695900"/>
    <w:rsid w:val="00695B1D"/>
    <w:rsid w:val="00695FB9"/>
    <w:rsid w:val="006960CB"/>
    <w:rsid w:val="00696113"/>
    <w:rsid w:val="0069634C"/>
    <w:rsid w:val="0069669C"/>
    <w:rsid w:val="006967C5"/>
    <w:rsid w:val="006968D6"/>
    <w:rsid w:val="006969BA"/>
    <w:rsid w:val="00696B4A"/>
    <w:rsid w:val="00696E3C"/>
    <w:rsid w:val="0069741B"/>
    <w:rsid w:val="006978FE"/>
    <w:rsid w:val="0069794C"/>
    <w:rsid w:val="00697CB0"/>
    <w:rsid w:val="00697EBE"/>
    <w:rsid w:val="006A057C"/>
    <w:rsid w:val="006A0774"/>
    <w:rsid w:val="006A0A22"/>
    <w:rsid w:val="006A0B47"/>
    <w:rsid w:val="006A0C53"/>
    <w:rsid w:val="006A1226"/>
    <w:rsid w:val="006A13AE"/>
    <w:rsid w:val="006A1463"/>
    <w:rsid w:val="006A1551"/>
    <w:rsid w:val="006A15BC"/>
    <w:rsid w:val="006A1611"/>
    <w:rsid w:val="006A162B"/>
    <w:rsid w:val="006A1719"/>
    <w:rsid w:val="006A1AAB"/>
    <w:rsid w:val="006A1AF0"/>
    <w:rsid w:val="006A2473"/>
    <w:rsid w:val="006A28B0"/>
    <w:rsid w:val="006A2940"/>
    <w:rsid w:val="006A2D0C"/>
    <w:rsid w:val="006A2EF0"/>
    <w:rsid w:val="006A30B0"/>
    <w:rsid w:val="006A319F"/>
    <w:rsid w:val="006A351D"/>
    <w:rsid w:val="006A36BA"/>
    <w:rsid w:val="006A3753"/>
    <w:rsid w:val="006A3880"/>
    <w:rsid w:val="006A3942"/>
    <w:rsid w:val="006A3FED"/>
    <w:rsid w:val="006A400D"/>
    <w:rsid w:val="006A4010"/>
    <w:rsid w:val="006A4070"/>
    <w:rsid w:val="006A47B1"/>
    <w:rsid w:val="006A4DD1"/>
    <w:rsid w:val="006A4E17"/>
    <w:rsid w:val="006A5141"/>
    <w:rsid w:val="006A55BD"/>
    <w:rsid w:val="006A57F6"/>
    <w:rsid w:val="006A598E"/>
    <w:rsid w:val="006A5B7F"/>
    <w:rsid w:val="006A5E5B"/>
    <w:rsid w:val="006A6350"/>
    <w:rsid w:val="006A6749"/>
    <w:rsid w:val="006A698B"/>
    <w:rsid w:val="006A69F3"/>
    <w:rsid w:val="006A6DFD"/>
    <w:rsid w:val="006A7025"/>
    <w:rsid w:val="006A7127"/>
    <w:rsid w:val="006A7400"/>
    <w:rsid w:val="006A7515"/>
    <w:rsid w:val="006A76C9"/>
    <w:rsid w:val="006A772E"/>
    <w:rsid w:val="006A7978"/>
    <w:rsid w:val="006A79E6"/>
    <w:rsid w:val="006A7BE2"/>
    <w:rsid w:val="006A7E27"/>
    <w:rsid w:val="006B00BA"/>
    <w:rsid w:val="006B0556"/>
    <w:rsid w:val="006B0615"/>
    <w:rsid w:val="006B070F"/>
    <w:rsid w:val="006B1315"/>
    <w:rsid w:val="006B13A7"/>
    <w:rsid w:val="006B1A1E"/>
    <w:rsid w:val="006B1A7F"/>
    <w:rsid w:val="006B1A82"/>
    <w:rsid w:val="006B1C00"/>
    <w:rsid w:val="006B21D3"/>
    <w:rsid w:val="006B29DF"/>
    <w:rsid w:val="006B2CDE"/>
    <w:rsid w:val="006B2D82"/>
    <w:rsid w:val="006B2DEF"/>
    <w:rsid w:val="006B2E4F"/>
    <w:rsid w:val="006B2FF1"/>
    <w:rsid w:val="006B3446"/>
    <w:rsid w:val="006B4964"/>
    <w:rsid w:val="006B4F5F"/>
    <w:rsid w:val="006B5176"/>
    <w:rsid w:val="006B5525"/>
    <w:rsid w:val="006B5836"/>
    <w:rsid w:val="006B5EF4"/>
    <w:rsid w:val="006B5F2E"/>
    <w:rsid w:val="006B66EE"/>
    <w:rsid w:val="006B70A9"/>
    <w:rsid w:val="006B71B2"/>
    <w:rsid w:val="006B71BB"/>
    <w:rsid w:val="006B72A5"/>
    <w:rsid w:val="006B748E"/>
    <w:rsid w:val="006B7622"/>
    <w:rsid w:val="006B7648"/>
    <w:rsid w:val="006B790C"/>
    <w:rsid w:val="006B7C22"/>
    <w:rsid w:val="006B7C45"/>
    <w:rsid w:val="006B7D75"/>
    <w:rsid w:val="006B7E02"/>
    <w:rsid w:val="006C0100"/>
    <w:rsid w:val="006C0152"/>
    <w:rsid w:val="006C0485"/>
    <w:rsid w:val="006C0765"/>
    <w:rsid w:val="006C0912"/>
    <w:rsid w:val="006C0AA9"/>
    <w:rsid w:val="006C0D50"/>
    <w:rsid w:val="006C0DE5"/>
    <w:rsid w:val="006C1492"/>
    <w:rsid w:val="006C1AF9"/>
    <w:rsid w:val="006C1D6F"/>
    <w:rsid w:val="006C20AA"/>
    <w:rsid w:val="006C20AE"/>
    <w:rsid w:val="006C21CE"/>
    <w:rsid w:val="006C2600"/>
    <w:rsid w:val="006C282B"/>
    <w:rsid w:val="006C2875"/>
    <w:rsid w:val="006C2925"/>
    <w:rsid w:val="006C2A22"/>
    <w:rsid w:val="006C2B4D"/>
    <w:rsid w:val="006C2C1E"/>
    <w:rsid w:val="006C2DDF"/>
    <w:rsid w:val="006C33F6"/>
    <w:rsid w:val="006C3975"/>
    <w:rsid w:val="006C3B18"/>
    <w:rsid w:val="006C3BCA"/>
    <w:rsid w:val="006C497E"/>
    <w:rsid w:val="006C4FF4"/>
    <w:rsid w:val="006C501E"/>
    <w:rsid w:val="006C5137"/>
    <w:rsid w:val="006C5482"/>
    <w:rsid w:val="006C57EF"/>
    <w:rsid w:val="006C584D"/>
    <w:rsid w:val="006C5E05"/>
    <w:rsid w:val="006C6368"/>
    <w:rsid w:val="006C679A"/>
    <w:rsid w:val="006C6A12"/>
    <w:rsid w:val="006C6A73"/>
    <w:rsid w:val="006C6AAC"/>
    <w:rsid w:val="006C6EE9"/>
    <w:rsid w:val="006C7CAA"/>
    <w:rsid w:val="006C7F4C"/>
    <w:rsid w:val="006D009E"/>
    <w:rsid w:val="006D0BE5"/>
    <w:rsid w:val="006D0C72"/>
    <w:rsid w:val="006D1082"/>
    <w:rsid w:val="006D127A"/>
    <w:rsid w:val="006D21BF"/>
    <w:rsid w:val="006D2212"/>
    <w:rsid w:val="006D2D45"/>
    <w:rsid w:val="006D2F27"/>
    <w:rsid w:val="006D31CD"/>
    <w:rsid w:val="006D3355"/>
    <w:rsid w:val="006D3446"/>
    <w:rsid w:val="006D3590"/>
    <w:rsid w:val="006D3B9E"/>
    <w:rsid w:val="006D3CB6"/>
    <w:rsid w:val="006D3D37"/>
    <w:rsid w:val="006D3D43"/>
    <w:rsid w:val="006D4110"/>
    <w:rsid w:val="006D4591"/>
    <w:rsid w:val="006D46FC"/>
    <w:rsid w:val="006D491A"/>
    <w:rsid w:val="006D4C7A"/>
    <w:rsid w:val="006D4FE5"/>
    <w:rsid w:val="006D54EC"/>
    <w:rsid w:val="006D5646"/>
    <w:rsid w:val="006D56BE"/>
    <w:rsid w:val="006D5919"/>
    <w:rsid w:val="006D5D02"/>
    <w:rsid w:val="006D600C"/>
    <w:rsid w:val="006D60B2"/>
    <w:rsid w:val="006D625A"/>
    <w:rsid w:val="006D6610"/>
    <w:rsid w:val="006D6650"/>
    <w:rsid w:val="006D68E1"/>
    <w:rsid w:val="006D6958"/>
    <w:rsid w:val="006D6BD8"/>
    <w:rsid w:val="006D6D0F"/>
    <w:rsid w:val="006D6E9D"/>
    <w:rsid w:val="006D707C"/>
    <w:rsid w:val="006D718D"/>
    <w:rsid w:val="006D727C"/>
    <w:rsid w:val="006D74E7"/>
    <w:rsid w:val="006D7561"/>
    <w:rsid w:val="006D7587"/>
    <w:rsid w:val="006D7632"/>
    <w:rsid w:val="006D7B7B"/>
    <w:rsid w:val="006D7E92"/>
    <w:rsid w:val="006D7F03"/>
    <w:rsid w:val="006E0007"/>
    <w:rsid w:val="006E0261"/>
    <w:rsid w:val="006E057C"/>
    <w:rsid w:val="006E0593"/>
    <w:rsid w:val="006E0805"/>
    <w:rsid w:val="006E0B45"/>
    <w:rsid w:val="006E0B51"/>
    <w:rsid w:val="006E0C3D"/>
    <w:rsid w:val="006E0F40"/>
    <w:rsid w:val="006E0FEB"/>
    <w:rsid w:val="006E1320"/>
    <w:rsid w:val="006E137E"/>
    <w:rsid w:val="006E160B"/>
    <w:rsid w:val="006E1B4A"/>
    <w:rsid w:val="006E1C2E"/>
    <w:rsid w:val="006E1CB2"/>
    <w:rsid w:val="006E2A48"/>
    <w:rsid w:val="006E2A52"/>
    <w:rsid w:val="006E2AEA"/>
    <w:rsid w:val="006E2BB7"/>
    <w:rsid w:val="006E2EB8"/>
    <w:rsid w:val="006E34E6"/>
    <w:rsid w:val="006E3AB8"/>
    <w:rsid w:val="006E3B04"/>
    <w:rsid w:val="006E3B50"/>
    <w:rsid w:val="006E3DF5"/>
    <w:rsid w:val="006E4314"/>
    <w:rsid w:val="006E43A9"/>
    <w:rsid w:val="006E44B1"/>
    <w:rsid w:val="006E49D3"/>
    <w:rsid w:val="006E52D0"/>
    <w:rsid w:val="006E545E"/>
    <w:rsid w:val="006E581E"/>
    <w:rsid w:val="006E58CA"/>
    <w:rsid w:val="006E5A48"/>
    <w:rsid w:val="006E5C0B"/>
    <w:rsid w:val="006E636B"/>
    <w:rsid w:val="006E65DE"/>
    <w:rsid w:val="006E65E3"/>
    <w:rsid w:val="006E67DC"/>
    <w:rsid w:val="006E6892"/>
    <w:rsid w:val="006E6E50"/>
    <w:rsid w:val="006E753F"/>
    <w:rsid w:val="006E75A5"/>
    <w:rsid w:val="006E75AB"/>
    <w:rsid w:val="006E7C1A"/>
    <w:rsid w:val="006E7D22"/>
    <w:rsid w:val="006F0455"/>
    <w:rsid w:val="006F057B"/>
    <w:rsid w:val="006F06B3"/>
    <w:rsid w:val="006F08BB"/>
    <w:rsid w:val="006F0B0B"/>
    <w:rsid w:val="006F0C75"/>
    <w:rsid w:val="006F0D06"/>
    <w:rsid w:val="006F170F"/>
    <w:rsid w:val="006F1921"/>
    <w:rsid w:val="006F19C7"/>
    <w:rsid w:val="006F1A62"/>
    <w:rsid w:val="006F1A76"/>
    <w:rsid w:val="006F1E37"/>
    <w:rsid w:val="006F1F66"/>
    <w:rsid w:val="006F211E"/>
    <w:rsid w:val="006F2233"/>
    <w:rsid w:val="006F239D"/>
    <w:rsid w:val="006F2A53"/>
    <w:rsid w:val="006F2EDD"/>
    <w:rsid w:val="006F347D"/>
    <w:rsid w:val="006F3521"/>
    <w:rsid w:val="006F36D1"/>
    <w:rsid w:val="006F3D43"/>
    <w:rsid w:val="006F40D9"/>
    <w:rsid w:val="006F4107"/>
    <w:rsid w:val="006F442A"/>
    <w:rsid w:val="006F44A7"/>
    <w:rsid w:val="006F4C7C"/>
    <w:rsid w:val="006F4CBF"/>
    <w:rsid w:val="006F4EF7"/>
    <w:rsid w:val="006F4FC4"/>
    <w:rsid w:val="006F54D5"/>
    <w:rsid w:val="006F59F0"/>
    <w:rsid w:val="006F5C17"/>
    <w:rsid w:val="006F5CE3"/>
    <w:rsid w:val="006F5DFF"/>
    <w:rsid w:val="006F6073"/>
    <w:rsid w:val="006F6392"/>
    <w:rsid w:val="006F6783"/>
    <w:rsid w:val="006F6992"/>
    <w:rsid w:val="006F6D98"/>
    <w:rsid w:val="006F7549"/>
    <w:rsid w:val="006F7920"/>
    <w:rsid w:val="006F7C7A"/>
    <w:rsid w:val="006F7CF5"/>
    <w:rsid w:val="006F7E3C"/>
    <w:rsid w:val="00700265"/>
    <w:rsid w:val="0070070A"/>
    <w:rsid w:val="007009C5"/>
    <w:rsid w:val="007009FD"/>
    <w:rsid w:val="00700A4E"/>
    <w:rsid w:val="007019DD"/>
    <w:rsid w:val="00701BF9"/>
    <w:rsid w:val="00702201"/>
    <w:rsid w:val="007024A3"/>
    <w:rsid w:val="00702539"/>
    <w:rsid w:val="00702CAF"/>
    <w:rsid w:val="0070397E"/>
    <w:rsid w:val="00704B13"/>
    <w:rsid w:val="00704E17"/>
    <w:rsid w:val="00704EDB"/>
    <w:rsid w:val="00705944"/>
    <w:rsid w:val="00705E6A"/>
    <w:rsid w:val="00705E7F"/>
    <w:rsid w:val="00705EAA"/>
    <w:rsid w:val="007060DC"/>
    <w:rsid w:val="007060F2"/>
    <w:rsid w:val="00706516"/>
    <w:rsid w:val="00706582"/>
    <w:rsid w:val="007066AB"/>
    <w:rsid w:val="007072F4"/>
    <w:rsid w:val="00707464"/>
    <w:rsid w:val="00707466"/>
    <w:rsid w:val="007075BE"/>
    <w:rsid w:val="00707D75"/>
    <w:rsid w:val="00707DFA"/>
    <w:rsid w:val="00707E4E"/>
    <w:rsid w:val="0071030B"/>
    <w:rsid w:val="00710774"/>
    <w:rsid w:val="00710B40"/>
    <w:rsid w:val="00710DD8"/>
    <w:rsid w:val="00711464"/>
    <w:rsid w:val="007119BB"/>
    <w:rsid w:val="00711B81"/>
    <w:rsid w:val="00711BCC"/>
    <w:rsid w:val="00711EEB"/>
    <w:rsid w:val="00712A22"/>
    <w:rsid w:val="00712C37"/>
    <w:rsid w:val="00713029"/>
    <w:rsid w:val="00713207"/>
    <w:rsid w:val="00713498"/>
    <w:rsid w:val="0071369D"/>
    <w:rsid w:val="007139CC"/>
    <w:rsid w:val="00713B4E"/>
    <w:rsid w:val="00714739"/>
    <w:rsid w:val="00714CB0"/>
    <w:rsid w:val="00715138"/>
    <w:rsid w:val="00715229"/>
    <w:rsid w:val="0071532F"/>
    <w:rsid w:val="007159C7"/>
    <w:rsid w:val="00715BCE"/>
    <w:rsid w:val="00715D6D"/>
    <w:rsid w:val="00715F09"/>
    <w:rsid w:val="00716056"/>
    <w:rsid w:val="0071612E"/>
    <w:rsid w:val="00716298"/>
    <w:rsid w:val="00716576"/>
    <w:rsid w:val="00716B34"/>
    <w:rsid w:val="00716C19"/>
    <w:rsid w:val="00716C6A"/>
    <w:rsid w:val="00717694"/>
    <w:rsid w:val="00717E0B"/>
    <w:rsid w:val="007200CC"/>
    <w:rsid w:val="00720325"/>
    <w:rsid w:val="0072040A"/>
    <w:rsid w:val="0072055A"/>
    <w:rsid w:val="0072059A"/>
    <w:rsid w:val="007206F5"/>
    <w:rsid w:val="007209FB"/>
    <w:rsid w:val="00720C49"/>
    <w:rsid w:val="00720D9E"/>
    <w:rsid w:val="00721691"/>
    <w:rsid w:val="00721694"/>
    <w:rsid w:val="007217BB"/>
    <w:rsid w:val="00721938"/>
    <w:rsid w:val="00721FFD"/>
    <w:rsid w:val="00722483"/>
    <w:rsid w:val="00722538"/>
    <w:rsid w:val="00722830"/>
    <w:rsid w:val="007229DF"/>
    <w:rsid w:val="00722A63"/>
    <w:rsid w:val="00722FAE"/>
    <w:rsid w:val="00723013"/>
    <w:rsid w:val="0072315E"/>
    <w:rsid w:val="00723365"/>
    <w:rsid w:val="00723894"/>
    <w:rsid w:val="00723ABC"/>
    <w:rsid w:val="00723C48"/>
    <w:rsid w:val="00723D9F"/>
    <w:rsid w:val="00724089"/>
    <w:rsid w:val="00724377"/>
    <w:rsid w:val="0072446C"/>
    <w:rsid w:val="00724514"/>
    <w:rsid w:val="007245DD"/>
    <w:rsid w:val="00724916"/>
    <w:rsid w:val="00724AB4"/>
    <w:rsid w:val="00724C2A"/>
    <w:rsid w:val="00724E3B"/>
    <w:rsid w:val="00724F7E"/>
    <w:rsid w:val="0072507D"/>
    <w:rsid w:val="007252CC"/>
    <w:rsid w:val="007252D8"/>
    <w:rsid w:val="0072537B"/>
    <w:rsid w:val="00725688"/>
    <w:rsid w:val="00725862"/>
    <w:rsid w:val="00725869"/>
    <w:rsid w:val="00725A2D"/>
    <w:rsid w:val="00725A76"/>
    <w:rsid w:val="00725AB4"/>
    <w:rsid w:val="00725F64"/>
    <w:rsid w:val="00726705"/>
    <w:rsid w:val="00726CBE"/>
    <w:rsid w:val="00726D17"/>
    <w:rsid w:val="00726E66"/>
    <w:rsid w:val="0072703A"/>
    <w:rsid w:val="007273B5"/>
    <w:rsid w:val="0072749E"/>
    <w:rsid w:val="007274F9"/>
    <w:rsid w:val="007277DB"/>
    <w:rsid w:val="0072784D"/>
    <w:rsid w:val="00727CF5"/>
    <w:rsid w:val="00727D62"/>
    <w:rsid w:val="00727ECF"/>
    <w:rsid w:val="00727F84"/>
    <w:rsid w:val="007300DE"/>
    <w:rsid w:val="0073032D"/>
    <w:rsid w:val="007304BB"/>
    <w:rsid w:val="0073058D"/>
    <w:rsid w:val="00730D0C"/>
    <w:rsid w:val="0073117C"/>
    <w:rsid w:val="00731756"/>
    <w:rsid w:val="0073178A"/>
    <w:rsid w:val="00731980"/>
    <w:rsid w:val="00731B3D"/>
    <w:rsid w:val="00731C97"/>
    <w:rsid w:val="00731FD8"/>
    <w:rsid w:val="00732225"/>
    <w:rsid w:val="00732282"/>
    <w:rsid w:val="00732D29"/>
    <w:rsid w:val="00732EEE"/>
    <w:rsid w:val="0073316F"/>
    <w:rsid w:val="00733644"/>
    <w:rsid w:val="00733901"/>
    <w:rsid w:val="007339AB"/>
    <w:rsid w:val="00733F51"/>
    <w:rsid w:val="007341F4"/>
    <w:rsid w:val="007342B1"/>
    <w:rsid w:val="00734B90"/>
    <w:rsid w:val="00734DEF"/>
    <w:rsid w:val="00734FD5"/>
    <w:rsid w:val="007350D7"/>
    <w:rsid w:val="00735363"/>
    <w:rsid w:val="00735418"/>
    <w:rsid w:val="007357C1"/>
    <w:rsid w:val="00735970"/>
    <w:rsid w:val="00736031"/>
    <w:rsid w:val="007366A3"/>
    <w:rsid w:val="007368B4"/>
    <w:rsid w:val="007369C1"/>
    <w:rsid w:val="00736A28"/>
    <w:rsid w:val="00736C75"/>
    <w:rsid w:val="00737571"/>
    <w:rsid w:val="00737980"/>
    <w:rsid w:val="00737AB9"/>
    <w:rsid w:val="00737CD3"/>
    <w:rsid w:val="0074006D"/>
    <w:rsid w:val="007404B4"/>
    <w:rsid w:val="007404F3"/>
    <w:rsid w:val="0074071F"/>
    <w:rsid w:val="00740A49"/>
    <w:rsid w:val="00740BBA"/>
    <w:rsid w:val="00740CB5"/>
    <w:rsid w:val="00740DA3"/>
    <w:rsid w:val="00740F2A"/>
    <w:rsid w:val="007411F1"/>
    <w:rsid w:val="00741423"/>
    <w:rsid w:val="00741662"/>
    <w:rsid w:val="007416B0"/>
    <w:rsid w:val="00741CF0"/>
    <w:rsid w:val="007422E9"/>
    <w:rsid w:val="00742499"/>
    <w:rsid w:val="007429AC"/>
    <w:rsid w:val="00742A4C"/>
    <w:rsid w:val="00742D6C"/>
    <w:rsid w:val="00743100"/>
    <w:rsid w:val="0074332E"/>
    <w:rsid w:val="00743B07"/>
    <w:rsid w:val="00743B48"/>
    <w:rsid w:val="00743FC2"/>
    <w:rsid w:val="00744144"/>
    <w:rsid w:val="00744226"/>
    <w:rsid w:val="00744244"/>
    <w:rsid w:val="0074458B"/>
    <w:rsid w:val="00744640"/>
    <w:rsid w:val="00744742"/>
    <w:rsid w:val="00744BBF"/>
    <w:rsid w:val="0074517F"/>
    <w:rsid w:val="0074526B"/>
    <w:rsid w:val="0074557C"/>
    <w:rsid w:val="00745608"/>
    <w:rsid w:val="00745903"/>
    <w:rsid w:val="00745CC3"/>
    <w:rsid w:val="00746080"/>
    <w:rsid w:val="0074609E"/>
    <w:rsid w:val="0074610E"/>
    <w:rsid w:val="007462C9"/>
    <w:rsid w:val="00746509"/>
    <w:rsid w:val="00746E1F"/>
    <w:rsid w:val="00746F1F"/>
    <w:rsid w:val="0074707E"/>
    <w:rsid w:val="0074730D"/>
    <w:rsid w:val="00747359"/>
    <w:rsid w:val="00747378"/>
    <w:rsid w:val="007475AC"/>
    <w:rsid w:val="00750358"/>
    <w:rsid w:val="00750477"/>
    <w:rsid w:val="007505A0"/>
    <w:rsid w:val="00750684"/>
    <w:rsid w:val="00751ADD"/>
    <w:rsid w:val="00751B52"/>
    <w:rsid w:val="00751E89"/>
    <w:rsid w:val="007521F2"/>
    <w:rsid w:val="007525C2"/>
    <w:rsid w:val="007529B9"/>
    <w:rsid w:val="00752F06"/>
    <w:rsid w:val="007531F2"/>
    <w:rsid w:val="007538E3"/>
    <w:rsid w:val="00753E26"/>
    <w:rsid w:val="00753F22"/>
    <w:rsid w:val="00753F76"/>
    <w:rsid w:val="00754210"/>
    <w:rsid w:val="007543E7"/>
    <w:rsid w:val="00754857"/>
    <w:rsid w:val="00754986"/>
    <w:rsid w:val="00754A89"/>
    <w:rsid w:val="00754B1B"/>
    <w:rsid w:val="00754D1E"/>
    <w:rsid w:val="00754D22"/>
    <w:rsid w:val="00755011"/>
    <w:rsid w:val="007552DD"/>
    <w:rsid w:val="00755BF1"/>
    <w:rsid w:val="00755D0C"/>
    <w:rsid w:val="0075638C"/>
    <w:rsid w:val="00756647"/>
    <w:rsid w:val="00756ABA"/>
    <w:rsid w:val="00756F77"/>
    <w:rsid w:val="00756F93"/>
    <w:rsid w:val="007572CC"/>
    <w:rsid w:val="00757448"/>
    <w:rsid w:val="00757479"/>
    <w:rsid w:val="00757BF1"/>
    <w:rsid w:val="00760740"/>
    <w:rsid w:val="0076083F"/>
    <w:rsid w:val="007616E5"/>
    <w:rsid w:val="0076197A"/>
    <w:rsid w:val="00762440"/>
    <w:rsid w:val="00762789"/>
    <w:rsid w:val="007627B1"/>
    <w:rsid w:val="00762808"/>
    <w:rsid w:val="00762B16"/>
    <w:rsid w:val="00762D1D"/>
    <w:rsid w:val="00762D2A"/>
    <w:rsid w:val="00762DB6"/>
    <w:rsid w:val="007630DC"/>
    <w:rsid w:val="007632A4"/>
    <w:rsid w:val="00763B19"/>
    <w:rsid w:val="00763E47"/>
    <w:rsid w:val="007640C4"/>
    <w:rsid w:val="007643F3"/>
    <w:rsid w:val="0076451D"/>
    <w:rsid w:val="007645CB"/>
    <w:rsid w:val="00764614"/>
    <w:rsid w:val="007649FF"/>
    <w:rsid w:val="00764F83"/>
    <w:rsid w:val="00765B8B"/>
    <w:rsid w:val="00765CF5"/>
    <w:rsid w:val="00765D81"/>
    <w:rsid w:val="00765E27"/>
    <w:rsid w:val="00765E86"/>
    <w:rsid w:val="00765F32"/>
    <w:rsid w:val="00766011"/>
    <w:rsid w:val="007660A3"/>
    <w:rsid w:val="00766459"/>
    <w:rsid w:val="00766707"/>
    <w:rsid w:val="007668C3"/>
    <w:rsid w:val="00766B26"/>
    <w:rsid w:val="00766B7A"/>
    <w:rsid w:val="00766B8C"/>
    <w:rsid w:val="00767191"/>
    <w:rsid w:val="007673B7"/>
    <w:rsid w:val="007677A7"/>
    <w:rsid w:val="007677B7"/>
    <w:rsid w:val="00770096"/>
    <w:rsid w:val="0077021D"/>
    <w:rsid w:val="00770AD4"/>
    <w:rsid w:val="00770E47"/>
    <w:rsid w:val="00771291"/>
    <w:rsid w:val="00771857"/>
    <w:rsid w:val="0077231D"/>
    <w:rsid w:val="00772DD3"/>
    <w:rsid w:val="0077309F"/>
    <w:rsid w:val="007730BA"/>
    <w:rsid w:val="007732B8"/>
    <w:rsid w:val="007733DC"/>
    <w:rsid w:val="00773803"/>
    <w:rsid w:val="00773D2F"/>
    <w:rsid w:val="00774423"/>
    <w:rsid w:val="0077477B"/>
    <w:rsid w:val="00774816"/>
    <w:rsid w:val="00774F86"/>
    <w:rsid w:val="00775267"/>
    <w:rsid w:val="0077563B"/>
    <w:rsid w:val="00775EE8"/>
    <w:rsid w:val="00775FC7"/>
    <w:rsid w:val="00776222"/>
    <w:rsid w:val="007762EF"/>
    <w:rsid w:val="007764D4"/>
    <w:rsid w:val="00776567"/>
    <w:rsid w:val="0077673F"/>
    <w:rsid w:val="0077683F"/>
    <w:rsid w:val="00776D31"/>
    <w:rsid w:val="00777585"/>
    <w:rsid w:val="00777720"/>
    <w:rsid w:val="00777B2A"/>
    <w:rsid w:val="00777B4B"/>
    <w:rsid w:val="00777B71"/>
    <w:rsid w:val="00780287"/>
    <w:rsid w:val="007804C2"/>
    <w:rsid w:val="00780A0D"/>
    <w:rsid w:val="00780C93"/>
    <w:rsid w:val="00780F2F"/>
    <w:rsid w:val="007810C8"/>
    <w:rsid w:val="0078145C"/>
    <w:rsid w:val="00781766"/>
    <w:rsid w:val="007818CA"/>
    <w:rsid w:val="00781B0D"/>
    <w:rsid w:val="00781E16"/>
    <w:rsid w:val="00781FD6"/>
    <w:rsid w:val="0078253F"/>
    <w:rsid w:val="00782B3A"/>
    <w:rsid w:val="00782ED7"/>
    <w:rsid w:val="00782F03"/>
    <w:rsid w:val="00783200"/>
    <w:rsid w:val="007838E0"/>
    <w:rsid w:val="00783DBD"/>
    <w:rsid w:val="00783F0F"/>
    <w:rsid w:val="00784811"/>
    <w:rsid w:val="00784842"/>
    <w:rsid w:val="007848A8"/>
    <w:rsid w:val="007848D7"/>
    <w:rsid w:val="00784EAE"/>
    <w:rsid w:val="00785E3E"/>
    <w:rsid w:val="00785E47"/>
    <w:rsid w:val="00785F04"/>
    <w:rsid w:val="0078603B"/>
    <w:rsid w:val="00786170"/>
    <w:rsid w:val="007866B0"/>
    <w:rsid w:val="0078688D"/>
    <w:rsid w:val="007868C9"/>
    <w:rsid w:val="00786C70"/>
    <w:rsid w:val="007874DF"/>
    <w:rsid w:val="00787A51"/>
    <w:rsid w:val="00787C42"/>
    <w:rsid w:val="00787EE3"/>
    <w:rsid w:val="0079050C"/>
    <w:rsid w:val="007908BC"/>
    <w:rsid w:val="00791401"/>
    <w:rsid w:val="007915F0"/>
    <w:rsid w:val="00791B62"/>
    <w:rsid w:val="00791BAA"/>
    <w:rsid w:val="00791D5C"/>
    <w:rsid w:val="007924E2"/>
    <w:rsid w:val="00792625"/>
    <w:rsid w:val="00792C67"/>
    <w:rsid w:val="00792CB8"/>
    <w:rsid w:val="007932DF"/>
    <w:rsid w:val="007936E6"/>
    <w:rsid w:val="00793E15"/>
    <w:rsid w:val="00793F5A"/>
    <w:rsid w:val="007942E4"/>
    <w:rsid w:val="00794A23"/>
    <w:rsid w:val="00794B80"/>
    <w:rsid w:val="00794D37"/>
    <w:rsid w:val="00794D7C"/>
    <w:rsid w:val="00794DAA"/>
    <w:rsid w:val="00794E1A"/>
    <w:rsid w:val="00794FFC"/>
    <w:rsid w:val="007952F9"/>
    <w:rsid w:val="007954B7"/>
    <w:rsid w:val="007957AD"/>
    <w:rsid w:val="00795A75"/>
    <w:rsid w:val="00795B0E"/>
    <w:rsid w:val="00795DAA"/>
    <w:rsid w:val="00795E0D"/>
    <w:rsid w:val="007962A2"/>
    <w:rsid w:val="0079630D"/>
    <w:rsid w:val="0079639A"/>
    <w:rsid w:val="00796A83"/>
    <w:rsid w:val="00796AEF"/>
    <w:rsid w:val="00796F66"/>
    <w:rsid w:val="007976A0"/>
    <w:rsid w:val="007979F4"/>
    <w:rsid w:val="00797A10"/>
    <w:rsid w:val="00797C38"/>
    <w:rsid w:val="00797C52"/>
    <w:rsid w:val="007A0653"/>
    <w:rsid w:val="007A0E43"/>
    <w:rsid w:val="007A0EFE"/>
    <w:rsid w:val="007A1279"/>
    <w:rsid w:val="007A1DC1"/>
    <w:rsid w:val="007A215C"/>
    <w:rsid w:val="007A222E"/>
    <w:rsid w:val="007A23DD"/>
    <w:rsid w:val="007A2764"/>
    <w:rsid w:val="007A2955"/>
    <w:rsid w:val="007A339E"/>
    <w:rsid w:val="007A390F"/>
    <w:rsid w:val="007A3DE4"/>
    <w:rsid w:val="007A4069"/>
    <w:rsid w:val="007A4533"/>
    <w:rsid w:val="007A4903"/>
    <w:rsid w:val="007A49EF"/>
    <w:rsid w:val="007A4EC3"/>
    <w:rsid w:val="007A4FD8"/>
    <w:rsid w:val="007A53C7"/>
    <w:rsid w:val="007A542B"/>
    <w:rsid w:val="007A58F4"/>
    <w:rsid w:val="007A5903"/>
    <w:rsid w:val="007A5F7C"/>
    <w:rsid w:val="007A616F"/>
    <w:rsid w:val="007A6576"/>
    <w:rsid w:val="007A66D2"/>
    <w:rsid w:val="007A688C"/>
    <w:rsid w:val="007A6931"/>
    <w:rsid w:val="007A6FE1"/>
    <w:rsid w:val="007A773C"/>
    <w:rsid w:val="007A78C8"/>
    <w:rsid w:val="007A797B"/>
    <w:rsid w:val="007A7BB7"/>
    <w:rsid w:val="007A7DF9"/>
    <w:rsid w:val="007A7F5D"/>
    <w:rsid w:val="007B005C"/>
    <w:rsid w:val="007B022A"/>
    <w:rsid w:val="007B04B2"/>
    <w:rsid w:val="007B0801"/>
    <w:rsid w:val="007B0803"/>
    <w:rsid w:val="007B0806"/>
    <w:rsid w:val="007B0CF1"/>
    <w:rsid w:val="007B1405"/>
    <w:rsid w:val="007B1433"/>
    <w:rsid w:val="007B1BF3"/>
    <w:rsid w:val="007B1C6A"/>
    <w:rsid w:val="007B22A9"/>
    <w:rsid w:val="007B2330"/>
    <w:rsid w:val="007B2832"/>
    <w:rsid w:val="007B28C3"/>
    <w:rsid w:val="007B2907"/>
    <w:rsid w:val="007B2DD2"/>
    <w:rsid w:val="007B37AD"/>
    <w:rsid w:val="007B3848"/>
    <w:rsid w:val="007B3E0A"/>
    <w:rsid w:val="007B4270"/>
    <w:rsid w:val="007B45B5"/>
    <w:rsid w:val="007B4D35"/>
    <w:rsid w:val="007B53EC"/>
    <w:rsid w:val="007B58E1"/>
    <w:rsid w:val="007B5FAC"/>
    <w:rsid w:val="007B6134"/>
    <w:rsid w:val="007B622B"/>
    <w:rsid w:val="007B6323"/>
    <w:rsid w:val="007B6587"/>
    <w:rsid w:val="007B668B"/>
    <w:rsid w:val="007B713D"/>
    <w:rsid w:val="007B740F"/>
    <w:rsid w:val="007B7668"/>
    <w:rsid w:val="007B79A3"/>
    <w:rsid w:val="007C034F"/>
    <w:rsid w:val="007C0402"/>
    <w:rsid w:val="007C0673"/>
    <w:rsid w:val="007C0718"/>
    <w:rsid w:val="007C0C6F"/>
    <w:rsid w:val="007C10E3"/>
    <w:rsid w:val="007C11DC"/>
    <w:rsid w:val="007C1A73"/>
    <w:rsid w:val="007C1F4B"/>
    <w:rsid w:val="007C1FA4"/>
    <w:rsid w:val="007C202D"/>
    <w:rsid w:val="007C22AC"/>
    <w:rsid w:val="007C242F"/>
    <w:rsid w:val="007C25A1"/>
    <w:rsid w:val="007C2851"/>
    <w:rsid w:val="007C28BB"/>
    <w:rsid w:val="007C29E5"/>
    <w:rsid w:val="007C2B7B"/>
    <w:rsid w:val="007C3017"/>
    <w:rsid w:val="007C32AF"/>
    <w:rsid w:val="007C33C2"/>
    <w:rsid w:val="007C3486"/>
    <w:rsid w:val="007C34CB"/>
    <w:rsid w:val="007C35D3"/>
    <w:rsid w:val="007C35FA"/>
    <w:rsid w:val="007C3612"/>
    <w:rsid w:val="007C387C"/>
    <w:rsid w:val="007C3B2F"/>
    <w:rsid w:val="007C3B7C"/>
    <w:rsid w:val="007C3C1D"/>
    <w:rsid w:val="007C3DCC"/>
    <w:rsid w:val="007C4693"/>
    <w:rsid w:val="007C4C07"/>
    <w:rsid w:val="007C4CDD"/>
    <w:rsid w:val="007C4ECB"/>
    <w:rsid w:val="007C5222"/>
    <w:rsid w:val="007C52CD"/>
    <w:rsid w:val="007C52FF"/>
    <w:rsid w:val="007C536C"/>
    <w:rsid w:val="007C58DA"/>
    <w:rsid w:val="007C5B25"/>
    <w:rsid w:val="007C5F82"/>
    <w:rsid w:val="007C5F8A"/>
    <w:rsid w:val="007C63D7"/>
    <w:rsid w:val="007C6F1A"/>
    <w:rsid w:val="007C6FAF"/>
    <w:rsid w:val="007C7242"/>
    <w:rsid w:val="007C741F"/>
    <w:rsid w:val="007C758C"/>
    <w:rsid w:val="007C76A1"/>
    <w:rsid w:val="007C78F3"/>
    <w:rsid w:val="007C7F17"/>
    <w:rsid w:val="007D0075"/>
    <w:rsid w:val="007D0627"/>
    <w:rsid w:val="007D0747"/>
    <w:rsid w:val="007D079B"/>
    <w:rsid w:val="007D101F"/>
    <w:rsid w:val="007D1293"/>
    <w:rsid w:val="007D142B"/>
    <w:rsid w:val="007D1AF2"/>
    <w:rsid w:val="007D1D44"/>
    <w:rsid w:val="007D1D4F"/>
    <w:rsid w:val="007D2524"/>
    <w:rsid w:val="007D2901"/>
    <w:rsid w:val="007D2A3D"/>
    <w:rsid w:val="007D2E08"/>
    <w:rsid w:val="007D2F77"/>
    <w:rsid w:val="007D3237"/>
    <w:rsid w:val="007D32BF"/>
    <w:rsid w:val="007D3766"/>
    <w:rsid w:val="007D379F"/>
    <w:rsid w:val="007D39F2"/>
    <w:rsid w:val="007D3BB9"/>
    <w:rsid w:val="007D3C07"/>
    <w:rsid w:val="007D3CBE"/>
    <w:rsid w:val="007D43D5"/>
    <w:rsid w:val="007D4535"/>
    <w:rsid w:val="007D4A4E"/>
    <w:rsid w:val="007D4C34"/>
    <w:rsid w:val="007D4C82"/>
    <w:rsid w:val="007D4DBF"/>
    <w:rsid w:val="007D515B"/>
    <w:rsid w:val="007D56C2"/>
    <w:rsid w:val="007D574A"/>
    <w:rsid w:val="007D585D"/>
    <w:rsid w:val="007D5864"/>
    <w:rsid w:val="007D5ACA"/>
    <w:rsid w:val="007D5B99"/>
    <w:rsid w:val="007D5DFC"/>
    <w:rsid w:val="007D5EEC"/>
    <w:rsid w:val="007D5FFB"/>
    <w:rsid w:val="007D600D"/>
    <w:rsid w:val="007D6252"/>
    <w:rsid w:val="007D66F1"/>
    <w:rsid w:val="007D69BB"/>
    <w:rsid w:val="007D6BAB"/>
    <w:rsid w:val="007D7062"/>
    <w:rsid w:val="007D721E"/>
    <w:rsid w:val="007D7563"/>
    <w:rsid w:val="007D7852"/>
    <w:rsid w:val="007D79D1"/>
    <w:rsid w:val="007D7B2B"/>
    <w:rsid w:val="007D7B5D"/>
    <w:rsid w:val="007D7CE0"/>
    <w:rsid w:val="007D7E0C"/>
    <w:rsid w:val="007D7FFD"/>
    <w:rsid w:val="007E0773"/>
    <w:rsid w:val="007E0B19"/>
    <w:rsid w:val="007E1137"/>
    <w:rsid w:val="007E142E"/>
    <w:rsid w:val="007E15AA"/>
    <w:rsid w:val="007E189C"/>
    <w:rsid w:val="007E190B"/>
    <w:rsid w:val="007E1E8A"/>
    <w:rsid w:val="007E20DE"/>
    <w:rsid w:val="007E21C3"/>
    <w:rsid w:val="007E2665"/>
    <w:rsid w:val="007E283E"/>
    <w:rsid w:val="007E296A"/>
    <w:rsid w:val="007E29F9"/>
    <w:rsid w:val="007E2C6C"/>
    <w:rsid w:val="007E34E3"/>
    <w:rsid w:val="007E35EA"/>
    <w:rsid w:val="007E3BC4"/>
    <w:rsid w:val="007E3C83"/>
    <w:rsid w:val="007E3D17"/>
    <w:rsid w:val="007E49B5"/>
    <w:rsid w:val="007E4BA9"/>
    <w:rsid w:val="007E4EA8"/>
    <w:rsid w:val="007E5801"/>
    <w:rsid w:val="007E5FAC"/>
    <w:rsid w:val="007E6410"/>
    <w:rsid w:val="007E6593"/>
    <w:rsid w:val="007E6786"/>
    <w:rsid w:val="007E68C0"/>
    <w:rsid w:val="007E6B36"/>
    <w:rsid w:val="007E6B7E"/>
    <w:rsid w:val="007E6CE2"/>
    <w:rsid w:val="007E6E43"/>
    <w:rsid w:val="007E7062"/>
    <w:rsid w:val="007E7132"/>
    <w:rsid w:val="007E7445"/>
    <w:rsid w:val="007E74DA"/>
    <w:rsid w:val="007E7752"/>
    <w:rsid w:val="007E7B74"/>
    <w:rsid w:val="007F02F3"/>
    <w:rsid w:val="007F02F7"/>
    <w:rsid w:val="007F0598"/>
    <w:rsid w:val="007F0CE1"/>
    <w:rsid w:val="007F0E4B"/>
    <w:rsid w:val="007F0F06"/>
    <w:rsid w:val="007F1186"/>
    <w:rsid w:val="007F175D"/>
    <w:rsid w:val="007F191B"/>
    <w:rsid w:val="007F197F"/>
    <w:rsid w:val="007F1CDE"/>
    <w:rsid w:val="007F1D36"/>
    <w:rsid w:val="007F2129"/>
    <w:rsid w:val="007F2938"/>
    <w:rsid w:val="007F2A37"/>
    <w:rsid w:val="007F2D72"/>
    <w:rsid w:val="007F340C"/>
    <w:rsid w:val="007F3572"/>
    <w:rsid w:val="007F35A9"/>
    <w:rsid w:val="007F3823"/>
    <w:rsid w:val="007F3FDE"/>
    <w:rsid w:val="007F4458"/>
    <w:rsid w:val="007F48DB"/>
    <w:rsid w:val="007F4984"/>
    <w:rsid w:val="007F4EF7"/>
    <w:rsid w:val="007F5047"/>
    <w:rsid w:val="007F55A3"/>
    <w:rsid w:val="007F585A"/>
    <w:rsid w:val="007F5A53"/>
    <w:rsid w:val="007F5C00"/>
    <w:rsid w:val="007F5E89"/>
    <w:rsid w:val="007F60B0"/>
    <w:rsid w:val="007F60EE"/>
    <w:rsid w:val="007F612A"/>
    <w:rsid w:val="007F6294"/>
    <w:rsid w:val="007F62C1"/>
    <w:rsid w:val="007F675E"/>
    <w:rsid w:val="007F6A05"/>
    <w:rsid w:val="007F6A5A"/>
    <w:rsid w:val="007F6B21"/>
    <w:rsid w:val="007F6DA6"/>
    <w:rsid w:val="007F7340"/>
    <w:rsid w:val="007F7A60"/>
    <w:rsid w:val="007F7A63"/>
    <w:rsid w:val="007F7A82"/>
    <w:rsid w:val="007F7B37"/>
    <w:rsid w:val="007F7C3E"/>
    <w:rsid w:val="007F7D2B"/>
    <w:rsid w:val="00800170"/>
    <w:rsid w:val="0080036C"/>
    <w:rsid w:val="00800459"/>
    <w:rsid w:val="0080077E"/>
    <w:rsid w:val="00800864"/>
    <w:rsid w:val="00800959"/>
    <w:rsid w:val="00800A29"/>
    <w:rsid w:val="00801013"/>
    <w:rsid w:val="00801233"/>
    <w:rsid w:val="00801308"/>
    <w:rsid w:val="008018DC"/>
    <w:rsid w:val="008019E3"/>
    <w:rsid w:val="00801A01"/>
    <w:rsid w:val="00801A34"/>
    <w:rsid w:val="00802367"/>
    <w:rsid w:val="008024B7"/>
    <w:rsid w:val="0080268E"/>
    <w:rsid w:val="00802836"/>
    <w:rsid w:val="00802BCD"/>
    <w:rsid w:val="00802C25"/>
    <w:rsid w:val="00802CC1"/>
    <w:rsid w:val="0080310A"/>
    <w:rsid w:val="00803591"/>
    <w:rsid w:val="0080379B"/>
    <w:rsid w:val="00803E16"/>
    <w:rsid w:val="00803E86"/>
    <w:rsid w:val="0080417A"/>
    <w:rsid w:val="008041DE"/>
    <w:rsid w:val="008042EA"/>
    <w:rsid w:val="008044F2"/>
    <w:rsid w:val="00804907"/>
    <w:rsid w:val="008049AB"/>
    <w:rsid w:val="00804A10"/>
    <w:rsid w:val="00804BA5"/>
    <w:rsid w:val="00804CE7"/>
    <w:rsid w:val="00804D78"/>
    <w:rsid w:val="00805180"/>
    <w:rsid w:val="008053B6"/>
    <w:rsid w:val="0080561F"/>
    <w:rsid w:val="00805767"/>
    <w:rsid w:val="008057DC"/>
    <w:rsid w:val="00806C1A"/>
    <w:rsid w:val="00806CCC"/>
    <w:rsid w:val="00806E08"/>
    <w:rsid w:val="0080700B"/>
    <w:rsid w:val="00807062"/>
    <w:rsid w:val="008070A5"/>
    <w:rsid w:val="00807373"/>
    <w:rsid w:val="0080771E"/>
    <w:rsid w:val="00807817"/>
    <w:rsid w:val="0080782A"/>
    <w:rsid w:val="00807AFF"/>
    <w:rsid w:val="00807B18"/>
    <w:rsid w:val="00807B55"/>
    <w:rsid w:val="008100F5"/>
    <w:rsid w:val="00810441"/>
    <w:rsid w:val="00810535"/>
    <w:rsid w:val="008106CA"/>
    <w:rsid w:val="00810C72"/>
    <w:rsid w:val="00810CB6"/>
    <w:rsid w:val="00810F3B"/>
    <w:rsid w:val="00810F9E"/>
    <w:rsid w:val="00811580"/>
    <w:rsid w:val="00811B41"/>
    <w:rsid w:val="008121BB"/>
    <w:rsid w:val="0081260A"/>
    <w:rsid w:val="008126E9"/>
    <w:rsid w:val="00812D2A"/>
    <w:rsid w:val="0081303A"/>
    <w:rsid w:val="008131D1"/>
    <w:rsid w:val="0081327C"/>
    <w:rsid w:val="0081331D"/>
    <w:rsid w:val="00813AEE"/>
    <w:rsid w:val="00813B34"/>
    <w:rsid w:val="00813C2B"/>
    <w:rsid w:val="00813CC5"/>
    <w:rsid w:val="008145DA"/>
    <w:rsid w:val="0081497D"/>
    <w:rsid w:val="00814A83"/>
    <w:rsid w:val="00814A94"/>
    <w:rsid w:val="00814E6A"/>
    <w:rsid w:val="0081504F"/>
    <w:rsid w:val="008150DE"/>
    <w:rsid w:val="00815126"/>
    <w:rsid w:val="008151B4"/>
    <w:rsid w:val="0081598D"/>
    <w:rsid w:val="00815B0D"/>
    <w:rsid w:val="00816009"/>
    <w:rsid w:val="0081667C"/>
    <w:rsid w:val="00816941"/>
    <w:rsid w:val="00816B90"/>
    <w:rsid w:val="00816FC1"/>
    <w:rsid w:val="0081706B"/>
    <w:rsid w:val="008174B4"/>
    <w:rsid w:val="008178F1"/>
    <w:rsid w:val="008179F5"/>
    <w:rsid w:val="00820305"/>
    <w:rsid w:val="00820C98"/>
    <w:rsid w:val="00820CF0"/>
    <w:rsid w:val="00821782"/>
    <w:rsid w:val="0082211D"/>
    <w:rsid w:val="00822350"/>
    <w:rsid w:val="00822C44"/>
    <w:rsid w:val="00822FBD"/>
    <w:rsid w:val="00822FE1"/>
    <w:rsid w:val="008231D1"/>
    <w:rsid w:val="00823380"/>
    <w:rsid w:val="00823AF7"/>
    <w:rsid w:val="00823BAD"/>
    <w:rsid w:val="00823C8F"/>
    <w:rsid w:val="00823D49"/>
    <w:rsid w:val="0082408E"/>
    <w:rsid w:val="0082440E"/>
    <w:rsid w:val="0082454E"/>
    <w:rsid w:val="00824575"/>
    <w:rsid w:val="008245FB"/>
    <w:rsid w:val="00824EF1"/>
    <w:rsid w:val="00825325"/>
    <w:rsid w:val="0082584E"/>
    <w:rsid w:val="008259E1"/>
    <w:rsid w:val="00825A2C"/>
    <w:rsid w:val="00825A5C"/>
    <w:rsid w:val="00825AE2"/>
    <w:rsid w:val="00825D51"/>
    <w:rsid w:val="00826381"/>
    <w:rsid w:val="00826615"/>
    <w:rsid w:val="008269F6"/>
    <w:rsid w:val="00826AFD"/>
    <w:rsid w:val="00826DBD"/>
    <w:rsid w:val="00826EC1"/>
    <w:rsid w:val="00826F9A"/>
    <w:rsid w:val="00827347"/>
    <w:rsid w:val="00827505"/>
    <w:rsid w:val="008276B5"/>
    <w:rsid w:val="00827812"/>
    <w:rsid w:val="008279BB"/>
    <w:rsid w:val="00827A8B"/>
    <w:rsid w:val="00827B99"/>
    <w:rsid w:val="00827E4D"/>
    <w:rsid w:val="00827F02"/>
    <w:rsid w:val="00830616"/>
    <w:rsid w:val="008306E3"/>
    <w:rsid w:val="008308C9"/>
    <w:rsid w:val="00830A07"/>
    <w:rsid w:val="00830D86"/>
    <w:rsid w:val="00831031"/>
    <w:rsid w:val="0083113A"/>
    <w:rsid w:val="0083169D"/>
    <w:rsid w:val="00831A7C"/>
    <w:rsid w:val="00831DF4"/>
    <w:rsid w:val="00831F05"/>
    <w:rsid w:val="0083216A"/>
    <w:rsid w:val="00832263"/>
    <w:rsid w:val="008323E3"/>
    <w:rsid w:val="00832498"/>
    <w:rsid w:val="00832632"/>
    <w:rsid w:val="0083265E"/>
    <w:rsid w:val="0083297B"/>
    <w:rsid w:val="00832ABA"/>
    <w:rsid w:val="00832B62"/>
    <w:rsid w:val="00832BE1"/>
    <w:rsid w:val="00832C0A"/>
    <w:rsid w:val="00832E76"/>
    <w:rsid w:val="008333F9"/>
    <w:rsid w:val="008334E4"/>
    <w:rsid w:val="00833632"/>
    <w:rsid w:val="00833710"/>
    <w:rsid w:val="00833B47"/>
    <w:rsid w:val="00833CE1"/>
    <w:rsid w:val="00833E02"/>
    <w:rsid w:val="00834196"/>
    <w:rsid w:val="00834996"/>
    <w:rsid w:val="00834C84"/>
    <w:rsid w:val="00834F3C"/>
    <w:rsid w:val="00835A38"/>
    <w:rsid w:val="00835CA1"/>
    <w:rsid w:val="00836784"/>
    <w:rsid w:val="0083686F"/>
    <w:rsid w:val="008368D7"/>
    <w:rsid w:val="008373A8"/>
    <w:rsid w:val="0083749A"/>
    <w:rsid w:val="008376CA"/>
    <w:rsid w:val="00837A88"/>
    <w:rsid w:val="00837D68"/>
    <w:rsid w:val="0084002C"/>
    <w:rsid w:val="00840073"/>
    <w:rsid w:val="00840283"/>
    <w:rsid w:val="00840417"/>
    <w:rsid w:val="008404D9"/>
    <w:rsid w:val="008404FC"/>
    <w:rsid w:val="008409F3"/>
    <w:rsid w:val="00840B5F"/>
    <w:rsid w:val="00840B91"/>
    <w:rsid w:val="00840E19"/>
    <w:rsid w:val="0084159C"/>
    <w:rsid w:val="00841731"/>
    <w:rsid w:val="008417F5"/>
    <w:rsid w:val="00841A95"/>
    <w:rsid w:val="00841BFE"/>
    <w:rsid w:val="00841D06"/>
    <w:rsid w:val="008420DE"/>
    <w:rsid w:val="00842257"/>
    <w:rsid w:val="008422E8"/>
    <w:rsid w:val="0084230F"/>
    <w:rsid w:val="00842874"/>
    <w:rsid w:val="00842A5F"/>
    <w:rsid w:val="00842EA3"/>
    <w:rsid w:val="00842F6E"/>
    <w:rsid w:val="0084301A"/>
    <w:rsid w:val="008433AA"/>
    <w:rsid w:val="008437A0"/>
    <w:rsid w:val="008439C8"/>
    <w:rsid w:val="00843BA4"/>
    <w:rsid w:val="00843DDF"/>
    <w:rsid w:val="00843F18"/>
    <w:rsid w:val="008441F1"/>
    <w:rsid w:val="008448EB"/>
    <w:rsid w:val="008449C5"/>
    <w:rsid w:val="00844D94"/>
    <w:rsid w:val="00844F27"/>
    <w:rsid w:val="00844F99"/>
    <w:rsid w:val="008451E5"/>
    <w:rsid w:val="0084542B"/>
    <w:rsid w:val="008459CA"/>
    <w:rsid w:val="00845ADC"/>
    <w:rsid w:val="0084610B"/>
    <w:rsid w:val="0084624B"/>
    <w:rsid w:val="00846703"/>
    <w:rsid w:val="008467A0"/>
    <w:rsid w:val="00846E17"/>
    <w:rsid w:val="008475E3"/>
    <w:rsid w:val="008476D9"/>
    <w:rsid w:val="008476FE"/>
    <w:rsid w:val="0084780B"/>
    <w:rsid w:val="00847904"/>
    <w:rsid w:val="008479AE"/>
    <w:rsid w:val="008501B2"/>
    <w:rsid w:val="008501F8"/>
    <w:rsid w:val="0085025B"/>
    <w:rsid w:val="008505AC"/>
    <w:rsid w:val="008507BC"/>
    <w:rsid w:val="00850A56"/>
    <w:rsid w:val="00850AED"/>
    <w:rsid w:val="00850C7A"/>
    <w:rsid w:val="00850D85"/>
    <w:rsid w:val="008510F1"/>
    <w:rsid w:val="00851843"/>
    <w:rsid w:val="00851887"/>
    <w:rsid w:val="00851E12"/>
    <w:rsid w:val="00851E74"/>
    <w:rsid w:val="008520A5"/>
    <w:rsid w:val="008521C7"/>
    <w:rsid w:val="00852887"/>
    <w:rsid w:val="0085290E"/>
    <w:rsid w:val="00852D2C"/>
    <w:rsid w:val="00852F45"/>
    <w:rsid w:val="00853148"/>
    <w:rsid w:val="00853172"/>
    <w:rsid w:val="00853297"/>
    <w:rsid w:val="00853756"/>
    <w:rsid w:val="00853C19"/>
    <w:rsid w:val="00853D3F"/>
    <w:rsid w:val="00853EA1"/>
    <w:rsid w:val="008547CB"/>
    <w:rsid w:val="008548DA"/>
    <w:rsid w:val="00854963"/>
    <w:rsid w:val="00854B56"/>
    <w:rsid w:val="00854BD9"/>
    <w:rsid w:val="008550BB"/>
    <w:rsid w:val="00855809"/>
    <w:rsid w:val="00855890"/>
    <w:rsid w:val="008559F8"/>
    <w:rsid w:val="00856328"/>
    <w:rsid w:val="0085657D"/>
    <w:rsid w:val="00856671"/>
    <w:rsid w:val="00856CCC"/>
    <w:rsid w:val="00856E8C"/>
    <w:rsid w:val="00857022"/>
    <w:rsid w:val="00857321"/>
    <w:rsid w:val="008579C7"/>
    <w:rsid w:val="00857CBB"/>
    <w:rsid w:val="008602D0"/>
    <w:rsid w:val="0086035D"/>
    <w:rsid w:val="00860887"/>
    <w:rsid w:val="008608E9"/>
    <w:rsid w:val="00860B73"/>
    <w:rsid w:val="00860C33"/>
    <w:rsid w:val="00861078"/>
    <w:rsid w:val="008612CA"/>
    <w:rsid w:val="00861A3E"/>
    <w:rsid w:val="00861F30"/>
    <w:rsid w:val="008627F8"/>
    <w:rsid w:val="008629B1"/>
    <w:rsid w:val="00862A78"/>
    <w:rsid w:val="00862D9E"/>
    <w:rsid w:val="00862E5E"/>
    <w:rsid w:val="00862E8C"/>
    <w:rsid w:val="0086306D"/>
    <w:rsid w:val="00863108"/>
    <w:rsid w:val="008632D7"/>
    <w:rsid w:val="008632F3"/>
    <w:rsid w:val="0086333C"/>
    <w:rsid w:val="00863698"/>
    <w:rsid w:val="00863EA6"/>
    <w:rsid w:val="00863FBE"/>
    <w:rsid w:val="00864391"/>
    <w:rsid w:val="008645D1"/>
    <w:rsid w:val="00864B15"/>
    <w:rsid w:val="00864B17"/>
    <w:rsid w:val="00864D81"/>
    <w:rsid w:val="00864DE6"/>
    <w:rsid w:val="00864F97"/>
    <w:rsid w:val="008652C3"/>
    <w:rsid w:val="0086550F"/>
    <w:rsid w:val="0086555A"/>
    <w:rsid w:val="00865900"/>
    <w:rsid w:val="0086607A"/>
    <w:rsid w:val="00866245"/>
    <w:rsid w:val="00866272"/>
    <w:rsid w:val="008662EA"/>
    <w:rsid w:val="00866504"/>
    <w:rsid w:val="008666CB"/>
    <w:rsid w:val="0086684A"/>
    <w:rsid w:val="008669F5"/>
    <w:rsid w:val="00866A7E"/>
    <w:rsid w:val="00867137"/>
    <w:rsid w:val="0086722B"/>
    <w:rsid w:val="00867343"/>
    <w:rsid w:val="008677B6"/>
    <w:rsid w:val="00867809"/>
    <w:rsid w:val="00867A40"/>
    <w:rsid w:val="00870E58"/>
    <w:rsid w:val="00871302"/>
    <w:rsid w:val="008717C5"/>
    <w:rsid w:val="00871D26"/>
    <w:rsid w:val="00872154"/>
    <w:rsid w:val="008721EC"/>
    <w:rsid w:val="008722EA"/>
    <w:rsid w:val="008722FB"/>
    <w:rsid w:val="00872FDB"/>
    <w:rsid w:val="0087350A"/>
    <w:rsid w:val="00873838"/>
    <w:rsid w:val="00873917"/>
    <w:rsid w:val="008739AC"/>
    <w:rsid w:val="00873A14"/>
    <w:rsid w:val="00873E95"/>
    <w:rsid w:val="00873FEC"/>
    <w:rsid w:val="008744DC"/>
    <w:rsid w:val="008749B9"/>
    <w:rsid w:val="00874B91"/>
    <w:rsid w:val="00874E16"/>
    <w:rsid w:val="00875333"/>
    <w:rsid w:val="00875642"/>
    <w:rsid w:val="00875748"/>
    <w:rsid w:val="00875873"/>
    <w:rsid w:val="00875FF9"/>
    <w:rsid w:val="00876003"/>
    <w:rsid w:val="00876266"/>
    <w:rsid w:val="00876375"/>
    <w:rsid w:val="0087649D"/>
    <w:rsid w:val="0087656A"/>
    <w:rsid w:val="008767FF"/>
    <w:rsid w:val="00876C4F"/>
    <w:rsid w:val="00876DF4"/>
    <w:rsid w:val="008770EB"/>
    <w:rsid w:val="008771C3"/>
    <w:rsid w:val="00877668"/>
    <w:rsid w:val="008776F4"/>
    <w:rsid w:val="0087779F"/>
    <w:rsid w:val="00877D64"/>
    <w:rsid w:val="00877D73"/>
    <w:rsid w:val="00877F84"/>
    <w:rsid w:val="0088092C"/>
    <w:rsid w:val="00880CE4"/>
    <w:rsid w:val="008811D2"/>
    <w:rsid w:val="008812C4"/>
    <w:rsid w:val="0088238B"/>
    <w:rsid w:val="0088259F"/>
    <w:rsid w:val="008827E1"/>
    <w:rsid w:val="0088294E"/>
    <w:rsid w:val="00882EDF"/>
    <w:rsid w:val="00882F4A"/>
    <w:rsid w:val="008833B3"/>
    <w:rsid w:val="008835E5"/>
    <w:rsid w:val="00883A8F"/>
    <w:rsid w:val="00883D38"/>
    <w:rsid w:val="00883EDF"/>
    <w:rsid w:val="008841B2"/>
    <w:rsid w:val="00884239"/>
    <w:rsid w:val="00884271"/>
    <w:rsid w:val="008842AF"/>
    <w:rsid w:val="00884398"/>
    <w:rsid w:val="0088448E"/>
    <w:rsid w:val="008845A9"/>
    <w:rsid w:val="008848E7"/>
    <w:rsid w:val="00884A2A"/>
    <w:rsid w:val="00884DA2"/>
    <w:rsid w:val="00885259"/>
    <w:rsid w:val="00885367"/>
    <w:rsid w:val="008855F3"/>
    <w:rsid w:val="00885734"/>
    <w:rsid w:val="00885C76"/>
    <w:rsid w:val="00885DBD"/>
    <w:rsid w:val="00885E09"/>
    <w:rsid w:val="00886087"/>
    <w:rsid w:val="008863E6"/>
    <w:rsid w:val="00886481"/>
    <w:rsid w:val="00886710"/>
    <w:rsid w:val="00886BB5"/>
    <w:rsid w:val="00886EC5"/>
    <w:rsid w:val="00887D65"/>
    <w:rsid w:val="008902CD"/>
    <w:rsid w:val="00890485"/>
    <w:rsid w:val="00890725"/>
    <w:rsid w:val="008909D0"/>
    <w:rsid w:val="008909EB"/>
    <w:rsid w:val="00890BF6"/>
    <w:rsid w:val="00890EE5"/>
    <w:rsid w:val="00890F7B"/>
    <w:rsid w:val="00890FDA"/>
    <w:rsid w:val="008914A2"/>
    <w:rsid w:val="0089158F"/>
    <w:rsid w:val="00891639"/>
    <w:rsid w:val="00891663"/>
    <w:rsid w:val="0089195E"/>
    <w:rsid w:val="00891CAC"/>
    <w:rsid w:val="00891DCD"/>
    <w:rsid w:val="00891FF3"/>
    <w:rsid w:val="00892AAA"/>
    <w:rsid w:val="00892BAE"/>
    <w:rsid w:val="00892D7F"/>
    <w:rsid w:val="00892E21"/>
    <w:rsid w:val="00892E9B"/>
    <w:rsid w:val="00893D57"/>
    <w:rsid w:val="00893ECE"/>
    <w:rsid w:val="008941C5"/>
    <w:rsid w:val="008942E7"/>
    <w:rsid w:val="008943A0"/>
    <w:rsid w:val="008944B6"/>
    <w:rsid w:val="008944FD"/>
    <w:rsid w:val="0089451A"/>
    <w:rsid w:val="00894609"/>
    <w:rsid w:val="00894917"/>
    <w:rsid w:val="00894A13"/>
    <w:rsid w:val="008950B9"/>
    <w:rsid w:val="00895322"/>
    <w:rsid w:val="00895643"/>
    <w:rsid w:val="00895A38"/>
    <w:rsid w:val="00895AFF"/>
    <w:rsid w:val="00895B62"/>
    <w:rsid w:val="00895BD7"/>
    <w:rsid w:val="00895EC1"/>
    <w:rsid w:val="008963A0"/>
    <w:rsid w:val="008963BF"/>
    <w:rsid w:val="00896795"/>
    <w:rsid w:val="00896DA9"/>
    <w:rsid w:val="008970E0"/>
    <w:rsid w:val="008975D4"/>
    <w:rsid w:val="00897644"/>
    <w:rsid w:val="00897671"/>
    <w:rsid w:val="00897951"/>
    <w:rsid w:val="00897A02"/>
    <w:rsid w:val="00897D17"/>
    <w:rsid w:val="00897E98"/>
    <w:rsid w:val="00897FFA"/>
    <w:rsid w:val="008A020A"/>
    <w:rsid w:val="008A0242"/>
    <w:rsid w:val="008A05B0"/>
    <w:rsid w:val="008A103D"/>
    <w:rsid w:val="008A105B"/>
    <w:rsid w:val="008A11D9"/>
    <w:rsid w:val="008A18FC"/>
    <w:rsid w:val="008A1CC9"/>
    <w:rsid w:val="008A1D53"/>
    <w:rsid w:val="008A1E8A"/>
    <w:rsid w:val="008A1F69"/>
    <w:rsid w:val="008A1FD9"/>
    <w:rsid w:val="008A2341"/>
    <w:rsid w:val="008A2433"/>
    <w:rsid w:val="008A2777"/>
    <w:rsid w:val="008A2B21"/>
    <w:rsid w:val="008A35AB"/>
    <w:rsid w:val="008A382C"/>
    <w:rsid w:val="008A383F"/>
    <w:rsid w:val="008A3B31"/>
    <w:rsid w:val="008A3CE5"/>
    <w:rsid w:val="008A41B8"/>
    <w:rsid w:val="008A46EB"/>
    <w:rsid w:val="008A4731"/>
    <w:rsid w:val="008A48E6"/>
    <w:rsid w:val="008A493B"/>
    <w:rsid w:val="008A4BCC"/>
    <w:rsid w:val="008A4F56"/>
    <w:rsid w:val="008A5AA7"/>
    <w:rsid w:val="008A5C85"/>
    <w:rsid w:val="008A6105"/>
    <w:rsid w:val="008A63FF"/>
    <w:rsid w:val="008A6405"/>
    <w:rsid w:val="008A6865"/>
    <w:rsid w:val="008A693B"/>
    <w:rsid w:val="008A69B4"/>
    <w:rsid w:val="008A6B86"/>
    <w:rsid w:val="008A6EE0"/>
    <w:rsid w:val="008A7032"/>
    <w:rsid w:val="008A780C"/>
    <w:rsid w:val="008A78A6"/>
    <w:rsid w:val="008A7A1D"/>
    <w:rsid w:val="008A7CA9"/>
    <w:rsid w:val="008A7D64"/>
    <w:rsid w:val="008A7F76"/>
    <w:rsid w:val="008B0042"/>
    <w:rsid w:val="008B0309"/>
    <w:rsid w:val="008B048D"/>
    <w:rsid w:val="008B06C2"/>
    <w:rsid w:val="008B0BC1"/>
    <w:rsid w:val="008B1112"/>
    <w:rsid w:val="008B137B"/>
    <w:rsid w:val="008B1780"/>
    <w:rsid w:val="008B17AD"/>
    <w:rsid w:val="008B1A70"/>
    <w:rsid w:val="008B1DFD"/>
    <w:rsid w:val="008B21B5"/>
    <w:rsid w:val="008B23FD"/>
    <w:rsid w:val="008B241A"/>
    <w:rsid w:val="008B27DB"/>
    <w:rsid w:val="008B284B"/>
    <w:rsid w:val="008B2A3C"/>
    <w:rsid w:val="008B2CFE"/>
    <w:rsid w:val="008B2F11"/>
    <w:rsid w:val="008B3A0C"/>
    <w:rsid w:val="008B3A33"/>
    <w:rsid w:val="008B3E52"/>
    <w:rsid w:val="008B3F3D"/>
    <w:rsid w:val="008B40B4"/>
    <w:rsid w:val="008B45E6"/>
    <w:rsid w:val="008B4625"/>
    <w:rsid w:val="008B4D4D"/>
    <w:rsid w:val="008B532C"/>
    <w:rsid w:val="008B53EA"/>
    <w:rsid w:val="008B54C7"/>
    <w:rsid w:val="008B55E7"/>
    <w:rsid w:val="008B595A"/>
    <w:rsid w:val="008B59E8"/>
    <w:rsid w:val="008B5F8F"/>
    <w:rsid w:val="008B5FA5"/>
    <w:rsid w:val="008B5FC2"/>
    <w:rsid w:val="008B63A6"/>
    <w:rsid w:val="008B6868"/>
    <w:rsid w:val="008B6B1F"/>
    <w:rsid w:val="008B6D24"/>
    <w:rsid w:val="008B6DA6"/>
    <w:rsid w:val="008B70E5"/>
    <w:rsid w:val="008B7324"/>
    <w:rsid w:val="008B737C"/>
    <w:rsid w:val="008B7491"/>
    <w:rsid w:val="008B76A4"/>
    <w:rsid w:val="008B7774"/>
    <w:rsid w:val="008B7AB3"/>
    <w:rsid w:val="008B7D3D"/>
    <w:rsid w:val="008C036C"/>
    <w:rsid w:val="008C0838"/>
    <w:rsid w:val="008C0CC3"/>
    <w:rsid w:val="008C0FCF"/>
    <w:rsid w:val="008C1454"/>
    <w:rsid w:val="008C19DB"/>
    <w:rsid w:val="008C1C76"/>
    <w:rsid w:val="008C1EE0"/>
    <w:rsid w:val="008C1F0F"/>
    <w:rsid w:val="008C2081"/>
    <w:rsid w:val="008C22EA"/>
    <w:rsid w:val="008C29D4"/>
    <w:rsid w:val="008C2D3C"/>
    <w:rsid w:val="008C3102"/>
    <w:rsid w:val="008C322E"/>
    <w:rsid w:val="008C327D"/>
    <w:rsid w:val="008C34AB"/>
    <w:rsid w:val="008C371B"/>
    <w:rsid w:val="008C3785"/>
    <w:rsid w:val="008C3A0B"/>
    <w:rsid w:val="008C3CF5"/>
    <w:rsid w:val="008C429C"/>
    <w:rsid w:val="008C4751"/>
    <w:rsid w:val="008C4A52"/>
    <w:rsid w:val="008C4AFE"/>
    <w:rsid w:val="008C4CAD"/>
    <w:rsid w:val="008C4D9D"/>
    <w:rsid w:val="008C502A"/>
    <w:rsid w:val="008C519A"/>
    <w:rsid w:val="008C54D9"/>
    <w:rsid w:val="008C54F0"/>
    <w:rsid w:val="008C617A"/>
    <w:rsid w:val="008C618E"/>
    <w:rsid w:val="008C651C"/>
    <w:rsid w:val="008C670B"/>
    <w:rsid w:val="008C68B5"/>
    <w:rsid w:val="008C753E"/>
    <w:rsid w:val="008C7872"/>
    <w:rsid w:val="008C788A"/>
    <w:rsid w:val="008C79C1"/>
    <w:rsid w:val="008C7B0C"/>
    <w:rsid w:val="008C7B5B"/>
    <w:rsid w:val="008C7E80"/>
    <w:rsid w:val="008C7EA6"/>
    <w:rsid w:val="008D0770"/>
    <w:rsid w:val="008D0A1B"/>
    <w:rsid w:val="008D0CC6"/>
    <w:rsid w:val="008D0D2B"/>
    <w:rsid w:val="008D0F0A"/>
    <w:rsid w:val="008D188C"/>
    <w:rsid w:val="008D18E7"/>
    <w:rsid w:val="008D1BCB"/>
    <w:rsid w:val="008D1CDD"/>
    <w:rsid w:val="008D21A6"/>
    <w:rsid w:val="008D21FD"/>
    <w:rsid w:val="008D2365"/>
    <w:rsid w:val="008D2423"/>
    <w:rsid w:val="008D246B"/>
    <w:rsid w:val="008D24F7"/>
    <w:rsid w:val="008D2542"/>
    <w:rsid w:val="008D26E2"/>
    <w:rsid w:val="008D273E"/>
    <w:rsid w:val="008D2842"/>
    <w:rsid w:val="008D3327"/>
    <w:rsid w:val="008D3B5F"/>
    <w:rsid w:val="008D3D61"/>
    <w:rsid w:val="008D3F03"/>
    <w:rsid w:val="008D444A"/>
    <w:rsid w:val="008D45F4"/>
    <w:rsid w:val="008D4613"/>
    <w:rsid w:val="008D4624"/>
    <w:rsid w:val="008D48DA"/>
    <w:rsid w:val="008D4C8E"/>
    <w:rsid w:val="008D50AD"/>
    <w:rsid w:val="008D52BF"/>
    <w:rsid w:val="008D5419"/>
    <w:rsid w:val="008D556E"/>
    <w:rsid w:val="008D56B6"/>
    <w:rsid w:val="008D5943"/>
    <w:rsid w:val="008D5CF5"/>
    <w:rsid w:val="008D5D9F"/>
    <w:rsid w:val="008D5E59"/>
    <w:rsid w:val="008D5F10"/>
    <w:rsid w:val="008D6089"/>
    <w:rsid w:val="008D60AA"/>
    <w:rsid w:val="008D6151"/>
    <w:rsid w:val="008D624B"/>
    <w:rsid w:val="008D62EF"/>
    <w:rsid w:val="008D62F9"/>
    <w:rsid w:val="008D6651"/>
    <w:rsid w:val="008D6986"/>
    <w:rsid w:val="008D6C9E"/>
    <w:rsid w:val="008D7323"/>
    <w:rsid w:val="008D767F"/>
    <w:rsid w:val="008D7D68"/>
    <w:rsid w:val="008D7D86"/>
    <w:rsid w:val="008D7DE2"/>
    <w:rsid w:val="008D7F33"/>
    <w:rsid w:val="008D7F8D"/>
    <w:rsid w:val="008E03E3"/>
    <w:rsid w:val="008E0484"/>
    <w:rsid w:val="008E051F"/>
    <w:rsid w:val="008E0646"/>
    <w:rsid w:val="008E0759"/>
    <w:rsid w:val="008E0915"/>
    <w:rsid w:val="008E0E28"/>
    <w:rsid w:val="008E107B"/>
    <w:rsid w:val="008E133C"/>
    <w:rsid w:val="008E151F"/>
    <w:rsid w:val="008E15ED"/>
    <w:rsid w:val="008E1642"/>
    <w:rsid w:val="008E1D10"/>
    <w:rsid w:val="008E205A"/>
    <w:rsid w:val="008E32B9"/>
    <w:rsid w:val="008E33B5"/>
    <w:rsid w:val="008E3B6C"/>
    <w:rsid w:val="008E4199"/>
    <w:rsid w:val="008E43CD"/>
    <w:rsid w:val="008E46FE"/>
    <w:rsid w:val="008E47AB"/>
    <w:rsid w:val="008E4828"/>
    <w:rsid w:val="008E489A"/>
    <w:rsid w:val="008E4E9C"/>
    <w:rsid w:val="008E4FE5"/>
    <w:rsid w:val="008E52AD"/>
    <w:rsid w:val="008E5587"/>
    <w:rsid w:val="008E5652"/>
    <w:rsid w:val="008E576B"/>
    <w:rsid w:val="008E5995"/>
    <w:rsid w:val="008E59AA"/>
    <w:rsid w:val="008E59F3"/>
    <w:rsid w:val="008E5AF2"/>
    <w:rsid w:val="008E5B25"/>
    <w:rsid w:val="008E5C5D"/>
    <w:rsid w:val="008E5D24"/>
    <w:rsid w:val="008E6343"/>
    <w:rsid w:val="008E6593"/>
    <w:rsid w:val="008E6836"/>
    <w:rsid w:val="008E6A66"/>
    <w:rsid w:val="008E71A5"/>
    <w:rsid w:val="008E72E5"/>
    <w:rsid w:val="008E73D5"/>
    <w:rsid w:val="008E76CB"/>
    <w:rsid w:val="008E7A6D"/>
    <w:rsid w:val="008E7C06"/>
    <w:rsid w:val="008E7E51"/>
    <w:rsid w:val="008F00FE"/>
    <w:rsid w:val="008F01F1"/>
    <w:rsid w:val="008F05EC"/>
    <w:rsid w:val="008F0830"/>
    <w:rsid w:val="008F08AE"/>
    <w:rsid w:val="008F09BE"/>
    <w:rsid w:val="008F0A6F"/>
    <w:rsid w:val="008F0CCA"/>
    <w:rsid w:val="008F0FA6"/>
    <w:rsid w:val="008F0FC9"/>
    <w:rsid w:val="008F10CC"/>
    <w:rsid w:val="008F132A"/>
    <w:rsid w:val="008F16D5"/>
    <w:rsid w:val="008F17BC"/>
    <w:rsid w:val="008F1B3E"/>
    <w:rsid w:val="008F1DA4"/>
    <w:rsid w:val="008F1DA7"/>
    <w:rsid w:val="008F214B"/>
    <w:rsid w:val="008F231B"/>
    <w:rsid w:val="008F2344"/>
    <w:rsid w:val="008F25DA"/>
    <w:rsid w:val="008F27F0"/>
    <w:rsid w:val="008F2AB6"/>
    <w:rsid w:val="008F30E9"/>
    <w:rsid w:val="008F378A"/>
    <w:rsid w:val="008F3C12"/>
    <w:rsid w:val="008F3FC2"/>
    <w:rsid w:val="008F4084"/>
    <w:rsid w:val="008F41B8"/>
    <w:rsid w:val="008F46E5"/>
    <w:rsid w:val="008F4745"/>
    <w:rsid w:val="008F4774"/>
    <w:rsid w:val="008F49A8"/>
    <w:rsid w:val="008F49DD"/>
    <w:rsid w:val="008F4C33"/>
    <w:rsid w:val="008F4F5A"/>
    <w:rsid w:val="008F5248"/>
    <w:rsid w:val="008F534B"/>
    <w:rsid w:val="008F548C"/>
    <w:rsid w:val="008F5A94"/>
    <w:rsid w:val="008F5B6E"/>
    <w:rsid w:val="008F5F92"/>
    <w:rsid w:val="008F60EF"/>
    <w:rsid w:val="008F6112"/>
    <w:rsid w:val="008F6121"/>
    <w:rsid w:val="008F639B"/>
    <w:rsid w:val="008F642B"/>
    <w:rsid w:val="008F64C4"/>
    <w:rsid w:val="008F67ED"/>
    <w:rsid w:val="008F6DF5"/>
    <w:rsid w:val="008F70E9"/>
    <w:rsid w:val="008F71B4"/>
    <w:rsid w:val="008F7441"/>
    <w:rsid w:val="008F745F"/>
    <w:rsid w:val="008F757B"/>
    <w:rsid w:val="008F7B8A"/>
    <w:rsid w:val="00900899"/>
    <w:rsid w:val="00900983"/>
    <w:rsid w:val="00900B56"/>
    <w:rsid w:val="00900F4F"/>
    <w:rsid w:val="00901000"/>
    <w:rsid w:val="0090132E"/>
    <w:rsid w:val="009013F7"/>
    <w:rsid w:val="0090161D"/>
    <w:rsid w:val="00901AC4"/>
    <w:rsid w:val="00901B1B"/>
    <w:rsid w:val="00901CB0"/>
    <w:rsid w:val="00902182"/>
    <w:rsid w:val="009021E5"/>
    <w:rsid w:val="00902651"/>
    <w:rsid w:val="0090285E"/>
    <w:rsid w:val="00902898"/>
    <w:rsid w:val="00902AF5"/>
    <w:rsid w:val="00902BB6"/>
    <w:rsid w:val="00902CE4"/>
    <w:rsid w:val="00902F41"/>
    <w:rsid w:val="0090304C"/>
    <w:rsid w:val="00903259"/>
    <w:rsid w:val="00904255"/>
    <w:rsid w:val="009044FF"/>
    <w:rsid w:val="0090457F"/>
    <w:rsid w:val="00904606"/>
    <w:rsid w:val="00904B5E"/>
    <w:rsid w:val="00904C81"/>
    <w:rsid w:val="009056C4"/>
    <w:rsid w:val="009057DF"/>
    <w:rsid w:val="00905A01"/>
    <w:rsid w:val="00905AE7"/>
    <w:rsid w:val="00906774"/>
    <w:rsid w:val="00906BAA"/>
    <w:rsid w:val="00907456"/>
    <w:rsid w:val="009074E7"/>
    <w:rsid w:val="00907D15"/>
    <w:rsid w:val="00907D83"/>
    <w:rsid w:val="00907E45"/>
    <w:rsid w:val="00907F8B"/>
    <w:rsid w:val="0091023F"/>
    <w:rsid w:val="009108C1"/>
    <w:rsid w:val="00910A2C"/>
    <w:rsid w:val="0091116C"/>
    <w:rsid w:val="009115EB"/>
    <w:rsid w:val="009115F1"/>
    <w:rsid w:val="00911A2D"/>
    <w:rsid w:val="00911D31"/>
    <w:rsid w:val="00912037"/>
    <w:rsid w:val="00912802"/>
    <w:rsid w:val="00912838"/>
    <w:rsid w:val="009128D9"/>
    <w:rsid w:val="00912BB6"/>
    <w:rsid w:val="009130B6"/>
    <w:rsid w:val="00913164"/>
    <w:rsid w:val="009131A6"/>
    <w:rsid w:val="009132E6"/>
    <w:rsid w:val="009133E9"/>
    <w:rsid w:val="009134A7"/>
    <w:rsid w:val="00913659"/>
    <w:rsid w:val="009136C0"/>
    <w:rsid w:val="009137E7"/>
    <w:rsid w:val="00913883"/>
    <w:rsid w:val="00913A7A"/>
    <w:rsid w:val="00913FC5"/>
    <w:rsid w:val="00913FE3"/>
    <w:rsid w:val="009141EB"/>
    <w:rsid w:val="00914607"/>
    <w:rsid w:val="009147A2"/>
    <w:rsid w:val="00914C6E"/>
    <w:rsid w:val="00914E4D"/>
    <w:rsid w:val="009152DB"/>
    <w:rsid w:val="00915536"/>
    <w:rsid w:val="00915860"/>
    <w:rsid w:val="00915B3D"/>
    <w:rsid w:val="00915D33"/>
    <w:rsid w:val="0091601C"/>
    <w:rsid w:val="0091605A"/>
    <w:rsid w:val="00916103"/>
    <w:rsid w:val="00916117"/>
    <w:rsid w:val="0091639B"/>
    <w:rsid w:val="0091673F"/>
    <w:rsid w:val="0091704B"/>
    <w:rsid w:val="009170E2"/>
    <w:rsid w:val="0091748E"/>
    <w:rsid w:val="00917CF8"/>
    <w:rsid w:val="00917DF4"/>
    <w:rsid w:val="0092040B"/>
    <w:rsid w:val="00920430"/>
    <w:rsid w:val="00920760"/>
    <w:rsid w:val="00920F07"/>
    <w:rsid w:val="0092112B"/>
    <w:rsid w:val="00921327"/>
    <w:rsid w:val="0092168D"/>
    <w:rsid w:val="00921B43"/>
    <w:rsid w:val="00921C4D"/>
    <w:rsid w:val="00921D9A"/>
    <w:rsid w:val="0092222F"/>
    <w:rsid w:val="00922282"/>
    <w:rsid w:val="009224C0"/>
    <w:rsid w:val="00922BAE"/>
    <w:rsid w:val="00923178"/>
    <w:rsid w:val="00923382"/>
    <w:rsid w:val="00923C72"/>
    <w:rsid w:val="009240E4"/>
    <w:rsid w:val="009244C7"/>
    <w:rsid w:val="009248E4"/>
    <w:rsid w:val="0092490F"/>
    <w:rsid w:val="00924DA7"/>
    <w:rsid w:val="00924F7A"/>
    <w:rsid w:val="00925309"/>
    <w:rsid w:val="009257A0"/>
    <w:rsid w:val="009258D0"/>
    <w:rsid w:val="0092591A"/>
    <w:rsid w:val="009259EA"/>
    <w:rsid w:val="009259F4"/>
    <w:rsid w:val="00925B78"/>
    <w:rsid w:val="00926060"/>
    <w:rsid w:val="00926131"/>
    <w:rsid w:val="00926363"/>
    <w:rsid w:val="0092650E"/>
    <w:rsid w:val="00926FC9"/>
    <w:rsid w:val="009270A3"/>
    <w:rsid w:val="0092715D"/>
    <w:rsid w:val="009271A8"/>
    <w:rsid w:val="00927349"/>
    <w:rsid w:val="00927350"/>
    <w:rsid w:val="009277FE"/>
    <w:rsid w:val="0092792B"/>
    <w:rsid w:val="00927A8A"/>
    <w:rsid w:val="00927C92"/>
    <w:rsid w:val="00927E63"/>
    <w:rsid w:val="0093009F"/>
    <w:rsid w:val="009300AE"/>
    <w:rsid w:val="00930149"/>
    <w:rsid w:val="00930204"/>
    <w:rsid w:val="0093037F"/>
    <w:rsid w:val="0093047D"/>
    <w:rsid w:val="00930487"/>
    <w:rsid w:val="009304F2"/>
    <w:rsid w:val="0093052B"/>
    <w:rsid w:val="00930CA0"/>
    <w:rsid w:val="00930F51"/>
    <w:rsid w:val="00930F83"/>
    <w:rsid w:val="00930F91"/>
    <w:rsid w:val="009317FF"/>
    <w:rsid w:val="0093299A"/>
    <w:rsid w:val="00932CF7"/>
    <w:rsid w:val="00932FF4"/>
    <w:rsid w:val="00933110"/>
    <w:rsid w:val="00933739"/>
    <w:rsid w:val="009338B5"/>
    <w:rsid w:val="00933D81"/>
    <w:rsid w:val="00933DFD"/>
    <w:rsid w:val="00934250"/>
    <w:rsid w:val="00934517"/>
    <w:rsid w:val="00934C88"/>
    <w:rsid w:val="0093535D"/>
    <w:rsid w:val="0093576F"/>
    <w:rsid w:val="00935945"/>
    <w:rsid w:val="00935EB5"/>
    <w:rsid w:val="00936008"/>
    <w:rsid w:val="00936049"/>
    <w:rsid w:val="0093651F"/>
    <w:rsid w:val="00936668"/>
    <w:rsid w:val="00936718"/>
    <w:rsid w:val="00936AF6"/>
    <w:rsid w:val="00936B2C"/>
    <w:rsid w:val="00936C3C"/>
    <w:rsid w:val="00936CF9"/>
    <w:rsid w:val="00936E6E"/>
    <w:rsid w:val="0093729D"/>
    <w:rsid w:val="009378B0"/>
    <w:rsid w:val="009378C8"/>
    <w:rsid w:val="0093795A"/>
    <w:rsid w:val="009402C8"/>
    <w:rsid w:val="00940426"/>
    <w:rsid w:val="00940515"/>
    <w:rsid w:val="00940705"/>
    <w:rsid w:val="00940E35"/>
    <w:rsid w:val="0094124D"/>
    <w:rsid w:val="00941305"/>
    <w:rsid w:val="009413FC"/>
    <w:rsid w:val="00941666"/>
    <w:rsid w:val="0094175D"/>
    <w:rsid w:val="00941822"/>
    <w:rsid w:val="009419FB"/>
    <w:rsid w:val="00941CEA"/>
    <w:rsid w:val="00941D37"/>
    <w:rsid w:val="00941FCE"/>
    <w:rsid w:val="00941FD3"/>
    <w:rsid w:val="00942205"/>
    <w:rsid w:val="0094259B"/>
    <w:rsid w:val="009426CC"/>
    <w:rsid w:val="009429F3"/>
    <w:rsid w:val="00942B3B"/>
    <w:rsid w:val="00942DD7"/>
    <w:rsid w:val="0094311A"/>
    <w:rsid w:val="009432D3"/>
    <w:rsid w:val="00943324"/>
    <w:rsid w:val="009433C8"/>
    <w:rsid w:val="009434AD"/>
    <w:rsid w:val="009435F8"/>
    <w:rsid w:val="0094376F"/>
    <w:rsid w:val="009437D6"/>
    <w:rsid w:val="009439F4"/>
    <w:rsid w:val="00943D59"/>
    <w:rsid w:val="00944231"/>
    <w:rsid w:val="009443A2"/>
    <w:rsid w:val="00944856"/>
    <w:rsid w:val="00944C49"/>
    <w:rsid w:val="00944C57"/>
    <w:rsid w:val="00944DFD"/>
    <w:rsid w:val="0094500E"/>
    <w:rsid w:val="0094537A"/>
    <w:rsid w:val="009459A3"/>
    <w:rsid w:val="00945A67"/>
    <w:rsid w:val="00945ED7"/>
    <w:rsid w:val="00945F58"/>
    <w:rsid w:val="00945FBC"/>
    <w:rsid w:val="0094671E"/>
    <w:rsid w:val="009467FA"/>
    <w:rsid w:val="00946B8B"/>
    <w:rsid w:val="00946CD9"/>
    <w:rsid w:val="00946D52"/>
    <w:rsid w:val="00947E7F"/>
    <w:rsid w:val="00950342"/>
    <w:rsid w:val="0095041D"/>
    <w:rsid w:val="009507E2"/>
    <w:rsid w:val="009507FD"/>
    <w:rsid w:val="009509E2"/>
    <w:rsid w:val="00950B09"/>
    <w:rsid w:val="00950B5C"/>
    <w:rsid w:val="00950C46"/>
    <w:rsid w:val="00950E31"/>
    <w:rsid w:val="00950E68"/>
    <w:rsid w:val="00951158"/>
    <w:rsid w:val="009512D8"/>
    <w:rsid w:val="009515AF"/>
    <w:rsid w:val="00951A90"/>
    <w:rsid w:val="00952079"/>
    <w:rsid w:val="00952238"/>
    <w:rsid w:val="009524B5"/>
    <w:rsid w:val="00952721"/>
    <w:rsid w:val="00952A1D"/>
    <w:rsid w:val="00952C06"/>
    <w:rsid w:val="009530F0"/>
    <w:rsid w:val="00953287"/>
    <w:rsid w:val="009533E2"/>
    <w:rsid w:val="009539A9"/>
    <w:rsid w:val="009539D8"/>
    <w:rsid w:val="009539E7"/>
    <w:rsid w:val="00953E66"/>
    <w:rsid w:val="00953E99"/>
    <w:rsid w:val="00953FFC"/>
    <w:rsid w:val="0095414E"/>
    <w:rsid w:val="00954212"/>
    <w:rsid w:val="0095447C"/>
    <w:rsid w:val="009547E5"/>
    <w:rsid w:val="009547F3"/>
    <w:rsid w:val="009548D5"/>
    <w:rsid w:val="009549F0"/>
    <w:rsid w:val="00954A67"/>
    <w:rsid w:val="009553E2"/>
    <w:rsid w:val="00955444"/>
    <w:rsid w:val="009554BC"/>
    <w:rsid w:val="0095602E"/>
    <w:rsid w:val="00956313"/>
    <w:rsid w:val="0095677F"/>
    <w:rsid w:val="00956851"/>
    <w:rsid w:val="00956B1A"/>
    <w:rsid w:val="009570B9"/>
    <w:rsid w:val="00957297"/>
    <w:rsid w:val="00957466"/>
    <w:rsid w:val="009574D9"/>
    <w:rsid w:val="00957CBD"/>
    <w:rsid w:val="00957D3B"/>
    <w:rsid w:val="00957EDC"/>
    <w:rsid w:val="00957FEB"/>
    <w:rsid w:val="00960008"/>
    <w:rsid w:val="00960095"/>
    <w:rsid w:val="009603C8"/>
    <w:rsid w:val="009604F7"/>
    <w:rsid w:val="0096058C"/>
    <w:rsid w:val="009607A3"/>
    <w:rsid w:val="009609CB"/>
    <w:rsid w:val="009616C4"/>
    <w:rsid w:val="0096197F"/>
    <w:rsid w:val="00961E74"/>
    <w:rsid w:val="00961EDC"/>
    <w:rsid w:val="009621F9"/>
    <w:rsid w:val="009625FD"/>
    <w:rsid w:val="009629FE"/>
    <w:rsid w:val="00962ADA"/>
    <w:rsid w:val="00962ED2"/>
    <w:rsid w:val="00962F8C"/>
    <w:rsid w:val="00963096"/>
    <w:rsid w:val="00963277"/>
    <w:rsid w:val="00963516"/>
    <w:rsid w:val="00963592"/>
    <w:rsid w:val="00963713"/>
    <w:rsid w:val="00963A39"/>
    <w:rsid w:val="00963DCF"/>
    <w:rsid w:val="00963DF3"/>
    <w:rsid w:val="00963FF7"/>
    <w:rsid w:val="00964133"/>
    <w:rsid w:val="0096438E"/>
    <w:rsid w:val="009645A9"/>
    <w:rsid w:val="00964672"/>
    <w:rsid w:val="00964EF3"/>
    <w:rsid w:val="00964F6C"/>
    <w:rsid w:val="0096500E"/>
    <w:rsid w:val="00965121"/>
    <w:rsid w:val="00965371"/>
    <w:rsid w:val="00965430"/>
    <w:rsid w:val="00965738"/>
    <w:rsid w:val="0096593E"/>
    <w:rsid w:val="009660EB"/>
    <w:rsid w:val="0096611C"/>
    <w:rsid w:val="009662B6"/>
    <w:rsid w:val="00966665"/>
    <w:rsid w:val="0096690C"/>
    <w:rsid w:val="00966BC5"/>
    <w:rsid w:val="00967176"/>
    <w:rsid w:val="009672CC"/>
    <w:rsid w:val="00967960"/>
    <w:rsid w:val="00967D43"/>
    <w:rsid w:val="00967DD6"/>
    <w:rsid w:val="0097005E"/>
    <w:rsid w:val="009704A3"/>
    <w:rsid w:val="00970688"/>
    <w:rsid w:val="00970761"/>
    <w:rsid w:val="0097093D"/>
    <w:rsid w:val="009709D3"/>
    <w:rsid w:val="00970E0C"/>
    <w:rsid w:val="00970F9A"/>
    <w:rsid w:val="00971204"/>
    <w:rsid w:val="0097142D"/>
    <w:rsid w:val="00971970"/>
    <w:rsid w:val="00971BA6"/>
    <w:rsid w:val="00971BC2"/>
    <w:rsid w:val="00971E56"/>
    <w:rsid w:val="00972709"/>
    <w:rsid w:val="00972745"/>
    <w:rsid w:val="009728E8"/>
    <w:rsid w:val="00972E9F"/>
    <w:rsid w:val="009732C2"/>
    <w:rsid w:val="0097378A"/>
    <w:rsid w:val="0097396D"/>
    <w:rsid w:val="009739F9"/>
    <w:rsid w:val="009739FE"/>
    <w:rsid w:val="00973A28"/>
    <w:rsid w:val="00973A2D"/>
    <w:rsid w:val="00973AB3"/>
    <w:rsid w:val="00973CE1"/>
    <w:rsid w:val="00973DB8"/>
    <w:rsid w:val="00973E93"/>
    <w:rsid w:val="00974147"/>
    <w:rsid w:val="009743BE"/>
    <w:rsid w:val="009747B5"/>
    <w:rsid w:val="00974B1C"/>
    <w:rsid w:val="00974C43"/>
    <w:rsid w:val="00974C8B"/>
    <w:rsid w:val="00974DBA"/>
    <w:rsid w:val="00974EAC"/>
    <w:rsid w:val="00974EE6"/>
    <w:rsid w:val="00974F8D"/>
    <w:rsid w:val="0097500F"/>
    <w:rsid w:val="00975143"/>
    <w:rsid w:val="009754EA"/>
    <w:rsid w:val="009755D4"/>
    <w:rsid w:val="009756C9"/>
    <w:rsid w:val="00975808"/>
    <w:rsid w:val="009758B1"/>
    <w:rsid w:val="0097610E"/>
    <w:rsid w:val="009762DF"/>
    <w:rsid w:val="0097654F"/>
    <w:rsid w:val="009766BD"/>
    <w:rsid w:val="009766F1"/>
    <w:rsid w:val="00976DD8"/>
    <w:rsid w:val="00976E1D"/>
    <w:rsid w:val="00976FEA"/>
    <w:rsid w:val="00977101"/>
    <w:rsid w:val="00977112"/>
    <w:rsid w:val="00977213"/>
    <w:rsid w:val="0097738C"/>
    <w:rsid w:val="0097756E"/>
    <w:rsid w:val="009779B7"/>
    <w:rsid w:val="00977A3B"/>
    <w:rsid w:val="0098030F"/>
    <w:rsid w:val="0098087F"/>
    <w:rsid w:val="00980C15"/>
    <w:rsid w:val="00980D41"/>
    <w:rsid w:val="00980F87"/>
    <w:rsid w:val="00981502"/>
    <w:rsid w:val="00981902"/>
    <w:rsid w:val="00981AC5"/>
    <w:rsid w:val="00981CBE"/>
    <w:rsid w:val="00981D2C"/>
    <w:rsid w:val="00981F0C"/>
    <w:rsid w:val="00981F3C"/>
    <w:rsid w:val="009820A0"/>
    <w:rsid w:val="009820F7"/>
    <w:rsid w:val="00982319"/>
    <w:rsid w:val="00982431"/>
    <w:rsid w:val="0098281D"/>
    <w:rsid w:val="00982AE5"/>
    <w:rsid w:val="00982E16"/>
    <w:rsid w:val="00982F3B"/>
    <w:rsid w:val="0098316B"/>
    <w:rsid w:val="0098391F"/>
    <w:rsid w:val="00983B50"/>
    <w:rsid w:val="00983C0D"/>
    <w:rsid w:val="00983DA3"/>
    <w:rsid w:val="00983E4B"/>
    <w:rsid w:val="00984066"/>
    <w:rsid w:val="009844C7"/>
    <w:rsid w:val="0098487B"/>
    <w:rsid w:val="00984945"/>
    <w:rsid w:val="00984A06"/>
    <w:rsid w:val="00984E1E"/>
    <w:rsid w:val="009851D4"/>
    <w:rsid w:val="00985540"/>
    <w:rsid w:val="00985D4E"/>
    <w:rsid w:val="00985F86"/>
    <w:rsid w:val="0098611E"/>
    <w:rsid w:val="009863F9"/>
    <w:rsid w:val="00986588"/>
    <w:rsid w:val="00986B92"/>
    <w:rsid w:val="00986CA3"/>
    <w:rsid w:val="00987295"/>
    <w:rsid w:val="0099000B"/>
    <w:rsid w:val="00990020"/>
    <w:rsid w:val="00990204"/>
    <w:rsid w:val="00990778"/>
    <w:rsid w:val="00990996"/>
    <w:rsid w:val="0099099F"/>
    <w:rsid w:val="00990A52"/>
    <w:rsid w:val="00990BE9"/>
    <w:rsid w:val="00990E4C"/>
    <w:rsid w:val="0099101E"/>
    <w:rsid w:val="00991446"/>
    <w:rsid w:val="00991470"/>
    <w:rsid w:val="0099162F"/>
    <w:rsid w:val="0099172E"/>
    <w:rsid w:val="00991845"/>
    <w:rsid w:val="00991916"/>
    <w:rsid w:val="009919AE"/>
    <w:rsid w:val="0099204A"/>
    <w:rsid w:val="009920D4"/>
    <w:rsid w:val="009921BE"/>
    <w:rsid w:val="009923AD"/>
    <w:rsid w:val="009925DF"/>
    <w:rsid w:val="00992607"/>
    <w:rsid w:val="00992AC4"/>
    <w:rsid w:val="00992E9E"/>
    <w:rsid w:val="00993072"/>
    <w:rsid w:val="0099377A"/>
    <w:rsid w:val="00993C82"/>
    <w:rsid w:val="00993ECF"/>
    <w:rsid w:val="009946E1"/>
    <w:rsid w:val="0099497F"/>
    <w:rsid w:val="00994AC7"/>
    <w:rsid w:val="00994F30"/>
    <w:rsid w:val="00994F59"/>
    <w:rsid w:val="0099516F"/>
    <w:rsid w:val="00995611"/>
    <w:rsid w:val="00995640"/>
    <w:rsid w:val="00995BA2"/>
    <w:rsid w:val="00995BF0"/>
    <w:rsid w:val="00996552"/>
    <w:rsid w:val="009965F4"/>
    <w:rsid w:val="0099668C"/>
    <w:rsid w:val="009966CC"/>
    <w:rsid w:val="00996796"/>
    <w:rsid w:val="00996ABC"/>
    <w:rsid w:val="00996AFF"/>
    <w:rsid w:val="00996EC1"/>
    <w:rsid w:val="00996F00"/>
    <w:rsid w:val="00997284"/>
    <w:rsid w:val="00997399"/>
    <w:rsid w:val="009973C2"/>
    <w:rsid w:val="009976FD"/>
    <w:rsid w:val="0099787C"/>
    <w:rsid w:val="0099789C"/>
    <w:rsid w:val="00997990"/>
    <w:rsid w:val="00997AFD"/>
    <w:rsid w:val="00997B14"/>
    <w:rsid w:val="00997E87"/>
    <w:rsid w:val="009A00CF"/>
    <w:rsid w:val="009A00DA"/>
    <w:rsid w:val="009A01A7"/>
    <w:rsid w:val="009A0418"/>
    <w:rsid w:val="009A044E"/>
    <w:rsid w:val="009A0F4C"/>
    <w:rsid w:val="009A0FBC"/>
    <w:rsid w:val="009A12C0"/>
    <w:rsid w:val="009A18C9"/>
    <w:rsid w:val="009A230D"/>
    <w:rsid w:val="009A2AC0"/>
    <w:rsid w:val="009A2B49"/>
    <w:rsid w:val="009A2BA6"/>
    <w:rsid w:val="009A2FAD"/>
    <w:rsid w:val="009A3108"/>
    <w:rsid w:val="009A321D"/>
    <w:rsid w:val="009A32B5"/>
    <w:rsid w:val="009A3568"/>
    <w:rsid w:val="009A378F"/>
    <w:rsid w:val="009A3EA7"/>
    <w:rsid w:val="009A4016"/>
    <w:rsid w:val="009A41BC"/>
    <w:rsid w:val="009A4520"/>
    <w:rsid w:val="009A494A"/>
    <w:rsid w:val="009A4C53"/>
    <w:rsid w:val="009A5113"/>
    <w:rsid w:val="009A53F7"/>
    <w:rsid w:val="009A55ED"/>
    <w:rsid w:val="009A5781"/>
    <w:rsid w:val="009A5A0C"/>
    <w:rsid w:val="009A607C"/>
    <w:rsid w:val="009A63BC"/>
    <w:rsid w:val="009A6458"/>
    <w:rsid w:val="009A64F7"/>
    <w:rsid w:val="009A6637"/>
    <w:rsid w:val="009A6966"/>
    <w:rsid w:val="009A6B90"/>
    <w:rsid w:val="009A6C7D"/>
    <w:rsid w:val="009A7612"/>
    <w:rsid w:val="009A771F"/>
    <w:rsid w:val="009A7CD4"/>
    <w:rsid w:val="009B0266"/>
    <w:rsid w:val="009B0392"/>
    <w:rsid w:val="009B0630"/>
    <w:rsid w:val="009B0B37"/>
    <w:rsid w:val="009B0C87"/>
    <w:rsid w:val="009B0DDF"/>
    <w:rsid w:val="009B167E"/>
    <w:rsid w:val="009B1777"/>
    <w:rsid w:val="009B1840"/>
    <w:rsid w:val="009B1BDF"/>
    <w:rsid w:val="009B1C0B"/>
    <w:rsid w:val="009B1D94"/>
    <w:rsid w:val="009B2195"/>
    <w:rsid w:val="009B259F"/>
    <w:rsid w:val="009B264E"/>
    <w:rsid w:val="009B2F1F"/>
    <w:rsid w:val="009B31EB"/>
    <w:rsid w:val="009B3302"/>
    <w:rsid w:val="009B3786"/>
    <w:rsid w:val="009B395B"/>
    <w:rsid w:val="009B3CC5"/>
    <w:rsid w:val="009B3F75"/>
    <w:rsid w:val="009B41FC"/>
    <w:rsid w:val="009B41FF"/>
    <w:rsid w:val="009B4304"/>
    <w:rsid w:val="009B446C"/>
    <w:rsid w:val="009B4AD5"/>
    <w:rsid w:val="009B4B03"/>
    <w:rsid w:val="009B4B9D"/>
    <w:rsid w:val="009B4C92"/>
    <w:rsid w:val="009B4CAB"/>
    <w:rsid w:val="009B4DAD"/>
    <w:rsid w:val="009B506B"/>
    <w:rsid w:val="009B598F"/>
    <w:rsid w:val="009B63C4"/>
    <w:rsid w:val="009B66A3"/>
    <w:rsid w:val="009B69B7"/>
    <w:rsid w:val="009B6AAE"/>
    <w:rsid w:val="009B6ECA"/>
    <w:rsid w:val="009B70D0"/>
    <w:rsid w:val="009B73D3"/>
    <w:rsid w:val="009B7682"/>
    <w:rsid w:val="009B77DB"/>
    <w:rsid w:val="009B7CF7"/>
    <w:rsid w:val="009C03FD"/>
    <w:rsid w:val="009C04EB"/>
    <w:rsid w:val="009C063E"/>
    <w:rsid w:val="009C0783"/>
    <w:rsid w:val="009C09C3"/>
    <w:rsid w:val="009C130D"/>
    <w:rsid w:val="009C14CE"/>
    <w:rsid w:val="009C16F3"/>
    <w:rsid w:val="009C1A2E"/>
    <w:rsid w:val="009C1EB1"/>
    <w:rsid w:val="009C2087"/>
    <w:rsid w:val="009C22F7"/>
    <w:rsid w:val="009C2356"/>
    <w:rsid w:val="009C23D6"/>
    <w:rsid w:val="009C25AA"/>
    <w:rsid w:val="009C2F4B"/>
    <w:rsid w:val="009C2FB7"/>
    <w:rsid w:val="009C33EE"/>
    <w:rsid w:val="009C3755"/>
    <w:rsid w:val="009C409E"/>
    <w:rsid w:val="009C451F"/>
    <w:rsid w:val="009C48AA"/>
    <w:rsid w:val="009C4BC0"/>
    <w:rsid w:val="009C4C6F"/>
    <w:rsid w:val="009C4D21"/>
    <w:rsid w:val="009C4F8D"/>
    <w:rsid w:val="009C4F93"/>
    <w:rsid w:val="009C50CD"/>
    <w:rsid w:val="009C52D2"/>
    <w:rsid w:val="009C5597"/>
    <w:rsid w:val="009C5960"/>
    <w:rsid w:val="009C59A2"/>
    <w:rsid w:val="009C5B3B"/>
    <w:rsid w:val="009C5EFF"/>
    <w:rsid w:val="009C5F65"/>
    <w:rsid w:val="009C5FC2"/>
    <w:rsid w:val="009C61E4"/>
    <w:rsid w:val="009C6472"/>
    <w:rsid w:val="009C693D"/>
    <w:rsid w:val="009C6C29"/>
    <w:rsid w:val="009C6C35"/>
    <w:rsid w:val="009C72A3"/>
    <w:rsid w:val="009C750D"/>
    <w:rsid w:val="009C772E"/>
    <w:rsid w:val="009C7C57"/>
    <w:rsid w:val="009C7EBB"/>
    <w:rsid w:val="009C7FC7"/>
    <w:rsid w:val="009D02C0"/>
    <w:rsid w:val="009D04A4"/>
    <w:rsid w:val="009D0660"/>
    <w:rsid w:val="009D0AB9"/>
    <w:rsid w:val="009D0D8F"/>
    <w:rsid w:val="009D0EE9"/>
    <w:rsid w:val="009D0F7A"/>
    <w:rsid w:val="009D0F9C"/>
    <w:rsid w:val="009D11EB"/>
    <w:rsid w:val="009D1651"/>
    <w:rsid w:val="009D18C2"/>
    <w:rsid w:val="009D18E9"/>
    <w:rsid w:val="009D1967"/>
    <w:rsid w:val="009D22D5"/>
    <w:rsid w:val="009D23B3"/>
    <w:rsid w:val="009D2D0E"/>
    <w:rsid w:val="009D2D8F"/>
    <w:rsid w:val="009D2F02"/>
    <w:rsid w:val="009D2FB8"/>
    <w:rsid w:val="009D3426"/>
    <w:rsid w:val="009D39EC"/>
    <w:rsid w:val="009D419A"/>
    <w:rsid w:val="009D42F8"/>
    <w:rsid w:val="009D4E82"/>
    <w:rsid w:val="009D4E94"/>
    <w:rsid w:val="009D4ED8"/>
    <w:rsid w:val="009D51E8"/>
    <w:rsid w:val="009D5613"/>
    <w:rsid w:val="009D57C0"/>
    <w:rsid w:val="009D5B93"/>
    <w:rsid w:val="009D5C5A"/>
    <w:rsid w:val="009D63B8"/>
    <w:rsid w:val="009D6EB1"/>
    <w:rsid w:val="009D714B"/>
    <w:rsid w:val="009D7A7A"/>
    <w:rsid w:val="009D7D48"/>
    <w:rsid w:val="009D7DEE"/>
    <w:rsid w:val="009E004A"/>
    <w:rsid w:val="009E038F"/>
    <w:rsid w:val="009E06A3"/>
    <w:rsid w:val="009E09F8"/>
    <w:rsid w:val="009E1032"/>
    <w:rsid w:val="009E10ED"/>
    <w:rsid w:val="009E110F"/>
    <w:rsid w:val="009E1DD2"/>
    <w:rsid w:val="009E2010"/>
    <w:rsid w:val="009E23B7"/>
    <w:rsid w:val="009E2B31"/>
    <w:rsid w:val="009E2B3F"/>
    <w:rsid w:val="009E3017"/>
    <w:rsid w:val="009E307F"/>
    <w:rsid w:val="009E321D"/>
    <w:rsid w:val="009E32DE"/>
    <w:rsid w:val="009E35AD"/>
    <w:rsid w:val="009E39B9"/>
    <w:rsid w:val="009E3CCC"/>
    <w:rsid w:val="009E4244"/>
    <w:rsid w:val="009E45F4"/>
    <w:rsid w:val="009E475C"/>
    <w:rsid w:val="009E4E1B"/>
    <w:rsid w:val="009E4E96"/>
    <w:rsid w:val="009E5092"/>
    <w:rsid w:val="009E5457"/>
    <w:rsid w:val="009E586E"/>
    <w:rsid w:val="009E6133"/>
    <w:rsid w:val="009E6138"/>
    <w:rsid w:val="009E62B4"/>
    <w:rsid w:val="009E64E0"/>
    <w:rsid w:val="009E6616"/>
    <w:rsid w:val="009E66A0"/>
    <w:rsid w:val="009E66B1"/>
    <w:rsid w:val="009E68AD"/>
    <w:rsid w:val="009E69DB"/>
    <w:rsid w:val="009E6A82"/>
    <w:rsid w:val="009E6C8C"/>
    <w:rsid w:val="009E702C"/>
    <w:rsid w:val="009E72DC"/>
    <w:rsid w:val="009E7B0B"/>
    <w:rsid w:val="009E7F9E"/>
    <w:rsid w:val="009F017B"/>
    <w:rsid w:val="009F021D"/>
    <w:rsid w:val="009F0336"/>
    <w:rsid w:val="009F04D1"/>
    <w:rsid w:val="009F05A2"/>
    <w:rsid w:val="009F0772"/>
    <w:rsid w:val="009F0843"/>
    <w:rsid w:val="009F0994"/>
    <w:rsid w:val="009F0B42"/>
    <w:rsid w:val="009F0C82"/>
    <w:rsid w:val="009F0FC5"/>
    <w:rsid w:val="009F1459"/>
    <w:rsid w:val="009F159D"/>
    <w:rsid w:val="009F182C"/>
    <w:rsid w:val="009F1851"/>
    <w:rsid w:val="009F1B7C"/>
    <w:rsid w:val="009F1C46"/>
    <w:rsid w:val="009F1CEC"/>
    <w:rsid w:val="009F1EF8"/>
    <w:rsid w:val="009F2374"/>
    <w:rsid w:val="009F292C"/>
    <w:rsid w:val="009F2F41"/>
    <w:rsid w:val="009F2FFA"/>
    <w:rsid w:val="009F31BC"/>
    <w:rsid w:val="009F3574"/>
    <w:rsid w:val="009F3CE4"/>
    <w:rsid w:val="009F3D61"/>
    <w:rsid w:val="009F407C"/>
    <w:rsid w:val="009F44E2"/>
    <w:rsid w:val="009F4531"/>
    <w:rsid w:val="009F488D"/>
    <w:rsid w:val="009F49FE"/>
    <w:rsid w:val="009F4AE8"/>
    <w:rsid w:val="009F4AF4"/>
    <w:rsid w:val="009F4DD3"/>
    <w:rsid w:val="009F4EE4"/>
    <w:rsid w:val="009F4F6F"/>
    <w:rsid w:val="009F4FD4"/>
    <w:rsid w:val="009F5038"/>
    <w:rsid w:val="009F56F6"/>
    <w:rsid w:val="009F5ACA"/>
    <w:rsid w:val="009F5C0E"/>
    <w:rsid w:val="009F5D6C"/>
    <w:rsid w:val="009F6218"/>
    <w:rsid w:val="009F6422"/>
    <w:rsid w:val="009F68D9"/>
    <w:rsid w:val="009F6BE6"/>
    <w:rsid w:val="009F6CFC"/>
    <w:rsid w:val="009F739C"/>
    <w:rsid w:val="009F766E"/>
    <w:rsid w:val="009F782B"/>
    <w:rsid w:val="009F785E"/>
    <w:rsid w:val="009F7B09"/>
    <w:rsid w:val="009F7EE6"/>
    <w:rsid w:val="00A0006E"/>
    <w:rsid w:val="00A000D4"/>
    <w:rsid w:val="00A00528"/>
    <w:rsid w:val="00A005D3"/>
    <w:rsid w:val="00A00E89"/>
    <w:rsid w:val="00A00F7A"/>
    <w:rsid w:val="00A010F4"/>
    <w:rsid w:val="00A0116F"/>
    <w:rsid w:val="00A01324"/>
    <w:rsid w:val="00A01383"/>
    <w:rsid w:val="00A01A56"/>
    <w:rsid w:val="00A01CE0"/>
    <w:rsid w:val="00A02253"/>
    <w:rsid w:val="00A02785"/>
    <w:rsid w:val="00A027C7"/>
    <w:rsid w:val="00A02BDF"/>
    <w:rsid w:val="00A02CE2"/>
    <w:rsid w:val="00A02E11"/>
    <w:rsid w:val="00A02FA3"/>
    <w:rsid w:val="00A0310A"/>
    <w:rsid w:val="00A03345"/>
    <w:rsid w:val="00A034C5"/>
    <w:rsid w:val="00A035BA"/>
    <w:rsid w:val="00A03A7C"/>
    <w:rsid w:val="00A03B58"/>
    <w:rsid w:val="00A03DEB"/>
    <w:rsid w:val="00A045C6"/>
    <w:rsid w:val="00A045E7"/>
    <w:rsid w:val="00A046C3"/>
    <w:rsid w:val="00A046CF"/>
    <w:rsid w:val="00A04787"/>
    <w:rsid w:val="00A0499A"/>
    <w:rsid w:val="00A04A95"/>
    <w:rsid w:val="00A04E81"/>
    <w:rsid w:val="00A0533D"/>
    <w:rsid w:val="00A05687"/>
    <w:rsid w:val="00A05734"/>
    <w:rsid w:val="00A05807"/>
    <w:rsid w:val="00A05A40"/>
    <w:rsid w:val="00A0614F"/>
    <w:rsid w:val="00A061FE"/>
    <w:rsid w:val="00A0624C"/>
    <w:rsid w:val="00A062FD"/>
    <w:rsid w:val="00A0639F"/>
    <w:rsid w:val="00A070C1"/>
    <w:rsid w:val="00A07143"/>
    <w:rsid w:val="00A073A2"/>
    <w:rsid w:val="00A07D1A"/>
    <w:rsid w:val="00A10E89"/>
    <w:rsid w:val="00A11141"/>
    <w:rsid w:val="00A112E4"/>
    <w:rsid w:val="00A11A6C"/>
    <w:rsid w:val="00A11B0B"/>
    <w:rsid w:val="00A11EE3"/>
    <w:rsid w:val="00A12062"/>
    <w:rsid w:val="00A12072"/>
    <w:rsid w:val="00A12500"/>
    <w:rsid w:val="00A130AC"/>
    <w:rsid w:val="00A132D3"/>
    <w:rsid w:val="00A13309"/>
    <w:rsid w:val="00A135AC"/>
    <w:rsid w:val="00A13742"/>
    <w:rsid w:val="00A1479A"/>
    <w:rsid w:val="00A147F6"/>
    <w:rsid w:val="00A14A03"/>
    <w:rsid w:val="00A14C37"/>
    <w:rsid w:val="00A14DA8"/>
    <w:rsid w:val="00A1516B"/>
    <w:rsid w:val="00A1518C"/>
    <w:rsid w:val="00A15525"/>
    <w:rsid w:val="00A1558D"/>
    <w:rsid w:val="00A15695"/>
    <w:rsid w:val="00A160A2"/>
    <w:rsid w:val="00A1614A"/>
    <w:rsid w:val="00A16265"/>
    <w:rsid w:val="00A163B9"/>
    <w:rsid w:val="00A16E2E"/>
    <w:rsid w:val="00A16E47"/>
    <w:rsid w:val="00A1725C"/>
    <w:rsid w:val="00A173AB"/>
    <w:rsid w:val="00A173B4"/>
    <w:rsid w:val="00A173F0"/>
    <w:rsid w:val="00A174AA"/>
    <w:rsid w:val="00A17662"/>
    <w:rsid w:val="00A17ADF"/>
    <w:rsid w:val="00A17C12"/>
    <w:rsid w:val="00A17E4C"/>
    <w:rsid w:val="00A17E57"/>
    <w:rsid w:val="00A200ED"/>
    <w:rsid w:val="00A201CC"/>
    <w:rsid w:val="00A201E9"/>
    <w:rsid w:val="00A202C7"/>
    <w:rsid w:val="00A209D8"/>
    <w:rsid w:val="00A2110D"/>
    <w:rsid w:val="00A211A7"/>
    <w:rsid w:val="00A21277"/>
    <w:rsid w:val="00A219F0"/>
    <w:rsid w:val="00A21E5E"/>
    <w:rsid w:val="00A21EC9"/>
    <w:rsid w:val="00A21FC8"/>
    <w:rsid w:val="00A22133"/>
    <w:rsid w:val="00A22D69"/>
    <w:rsid w:val="00A22D9D"/>
    <w:rsid w:val="00A22E10"/>
    <w:rsid w:val="00A2305C"/>
    <w:rsid w:val="00A23341"/>
    <w:rsid w:val="00A23409"/>
    <w:rsid w:val="00A23494"/>
    <w:rsid w:val="00A23697"/>
    <w:rsid w:val="00A2375D"/>
    <w:rsid w:val="00A238B8"/>
    <w:rsid w:val="00A238D2"/>
    <w:rsid w:val="00A23BA2"/>
    <w:rsid w:val="00A241C8"/>
    <w:rsid w:val="00A24346"/>
    <w:rsid w:val="00A24603"/>
    <w:rsid w:val="00A24B40"/>
    <w:rsid w:val="00A24B81"/>
    <w:rsid w:val="00A253BD"/>
    <w:rsid w:val="00A2567D"/>
    <w:rsid w:val="00A25867"/>
    <w:rsid w:val="00A25B8B"/>
    <w:rsid w:val="00A2607F"/>
    <w:rsid w:val="00A26121"/>
    <w:rsid w:val="00A262D4"/>
    <w:rsid w:val="00A26678"/>
    <w:rsid w:val="00A266EA"/>
    <w:rsid w:val="00A2680D"/>
    <w:rsid w:val="00A2681B"/>
    <w:rsid w:val="00A2690E"/>
    <w:rsid w:val="00A26BEA"/>
    <w:rsid w:val="00A26DCA"/>
    <w:rsid w:val="00A26F2F"/>
    <w:rsid w:val="00A27095"/>
    <w:rsid w:val="00A271C8"/>
    <w:rsid w:val="00A272A5"/>
    <w:rsid w:val="00A275AF"/>
    <w:rsid w:val="00A27982"/>
    <w:rsid w:val="00A27B23"/>
    <w:rsid w:val="00A27B73"/>
    <w:rsid w:val="00A27B88"/>
    <w:rsid w:val="00A27BAE"/>
    <w:rsid w:val="00A27BC5"/>
    <w:rsid w:val="00A27C3F"/>
    <w:rsid w:val="00A30228"/>
    <w:rsid w:val="00A306BE"/>
    <w:rsid w:val="00A308FB"/>
    <w:rsid w:val="00A30E1B"/>
    <w:rsid w:val="00A3149A"/>
    <w:rsid w:val="00A3154D"/>
    <w:rsid w:val="00A31573"/>
    <w:rsid w:val="00A31746"/>
    <w:rsid w:val="00A3199F"/>
    <w:rsid w:val="00A32095"/>
    <w:rsid w:val="00A32293"/>
    <w:rsid w:val="00A322E4"/>
    <w:rsid w:val="00A329A7"/>
    <w:rsid w:val="00A3321C"/>
    <w:rsid w:val="00A332E1"/>
    <w:rsid w:val="00A3371D"/>
    <w:rsid w:val="00A338D7"/>
    <w:rsid w:val="00A339BA"/>
    <w:rsid w:val="00A33B29"/>
    <w:rsid w:val="00A33EC1"/>
    <w:rsid w:val="00A34241"/>
    <w:rsid w:val="00A347E9"/>
    <w:rsid w:val="00A34B16"/>
    <w:rsid w:val="00A34C3A"/>
    <w:rsid w:val="00A34F1C"/>
    <w:rsid w:val="00A34FB1"/>
    <w:rsid w:val="00A35178"/>
    <w:rsid w:val="00A35840"/>
    <w:rsid w:val="00A3587F"/>
    <w:rsid w:val="00A35AAE"/>
    <w:rsid w:val="00A35D13"/>
    <w:rsid w:val="00A35E25"/>
    <w:rsid w:val="00A3652A"/>
    <w:rsid w:val="00A365AF"/>
    <w:rsid w:val="00A365FD"/>
    <w:rsid w:val="00A36898"/>
    <w:rsid w:val="00A374DA"/>
    <w:rsid w:val="00A37614"/>
    <w:rsid w:val="00A3778C"/>
    <w:rsid w:val="00A379B4"/>
    <w:rsid w:val="00A37AF7"/>
    <w:rsid w:val="00A37B67"/>
    <w:rsid w:val="00A37BAD"/>
    <w:rsid w:val="00A37DD0"/>
    <w:rsid w:val="00A37EB3"/>
    <w:rsid w:val="00A37EBB"/>
    <w:rsid w:val="00A406D5"/>
    <w:rsid w:val="00A40713"/>
    <w:rsid w:val="00A40755"/>
    <w:rsid w:val="00A407EF"/>
    <w:rsid w:val="00A40B76"/>
    <w:rsid w:val="00A40B7B"/>
    <w:rsid w:val="00A40B9A"/>
    <w:rsid w:val="00A40EC9"/>
    <w:rsid w:val="00A40F05"/>
    <w:rsid w:val="00A414C4"/>
    <w:rsid w:val="00A41770"/>
    <w:rsid w:val="00A420DD"/>
    <w:rsid w:val="00A42144"/>
    <w:rsid w:val="00A42617"/>
    <w:rsid w:val="00A42670"/>
    <w:rsid w:val="00A42686"/>
    <w:rsid w:val="00A4271F"/>
    <w:rsid w:val="00A42A2C"/>
    <w:rsid w:val="00A42B62"/>
    <w:rsid w:val="00A4320E"/>
    <w:rsid w:val="00A43620"/>
    <w:rsid w:val="00A438EB"/>
    <w:rsid w:val="00A43D28"/>
    <w:rsid w:val="00A43F20"/>
    <w:rsid w:val="00A44057"/>
    <w:rsid w:val="00A44195"/>
    <w:rsid w:val="00A44381"/>
    <w:rsid w:val="00A444EC"/>
    <w:rsid w:val="00A44753"/>
    <w:rsid w:val="00A447AE"/>
    <w:rsid w:val="00A447B4"/>
    <w:rsid w:val="00A448D4"/>
    <w:rsid w:val="00A44C22"/>
    <w:rsid w:val="00A44E60"/>
    <w:rsid w:val="00A44FD7"/>
    <w:rsid w:val="00A44FE5"/>
    <w:rsid w:val="00A45135"/>
    <w:rsid w:val="00A452B8"/>
    <w:rsid w:val="00A4551E"/>
    <w:rsid w:val="00A4556D"/>
    <w:rsid w:val="00A455D9"/>
    <w:rsid w:val="00A45718"/>
    <w:rsid w:val="00A45BEE"/>
    <w:rsid w:val="00A45CC5"/>
    <w:rsid w:val="00A45D38"/>
    <w:rsid w:val="00A46249"/>
    <w:rsid w:val="00A46660"/>
    <w:rsid w:val="00A4679B"/>
    <w:rsid w:val="00A47193"/>
    <w:rsid w:val="00A4797D"/>
    <w:rsid w:val="00A47AB6"/>
    <w:rsid w:val="00A50162"/>
    <w:rsid w:val="00A50688"/>
    <w:rsid w:val="00A50866"/>
    <w:rsid w:val="00A50A49"/>
    <w:rsid w:val="00A50A95"/>
    <w:rsid w:val="00A5111A"/>
    <w:rsid w:val="00A51136"/>
    <w:rsid w:val="00A5120A"/>
    <w:rsid w:val="00A515CF"/>
    <w:rsid w:val="00A516C9"/>
    <w:rsid w:val="00A5214D"/>
    <w:rsid w:val="00A52432"/>
    <w:rsid w:val="00A52541"/>
    <w:rsid w:val="00A525E5"/>
    <w:rsid w:val="00A52CFF"/>
    <w:rsid w:val="00A52E76"/>
    <w:rsid w:val="00A53417"/>
    <w:rsid w:val="00A53471"/>
    <w:rsid w:val="00A53615"/>
    <w:rsid w:val="00A53B90"/>
    <w:rsid w:val="00A548A0"/>
    <w:rsid w:val="00A54C8B"/>
    <w:rsid w:val="00A54CAB"/>
    <w:rsid w:val="00A54CC1"/>
    <w:rsid w:val="00A54E08"/>
    <w:rsid w:val="00A54FD8"/>
    <w:rsid w:val="00A55046"/>
    <w:rsid w:val="00A553BC"/>
    <w:rsid w:val="00A555D0"/>
    <w:rsid w:val="00A55B17"/>
    <w:rsid w:val="00A55D80"/>
    <w:rsid w:val="00A561E2"/>
    <w:rsid w:val="00A565D6"/>
    <w:rsid w:val="00A56626"/>
    <w:rsid w:val="00A567EF"/>
    <w:rsid w:val="00A56815"/>
    <w:rsid w:val="00A56927"/>
    <w:rsid w:val="00A56B79"/>
    <w:rsid w:val="00A56C1D"/>
    <w:rsid w:val="00A57008"/>
    <w:rsid w:val="00A571AA"/>
    <w:rsid w:val="00A574FA"/>
    <w:rsid w:val="00A57567"/>
    <w:rsid w:val="00A575B7"/>
    <w:rsid w:val="00A57BDB"/>
    <w:rsid w:val="00A57DDD"/>
    <w:rsid w:val="00A60326"/>
    <w:rsid w:val="00A604DF"/>
    <w:rsid w:val="00A60596"/>
    <w:rsid w:val="00A60838"/>
    <w:rsid w:val="00A6084E"/>
    <w:rsid w:val="00A6102F"/>
    <w:rsid w:val="00A6130A"/>
    <w:rsid w:val="00A614B1"/>
    <w:rsid w:val="00A6151A"/>
    <w:rsid w:val="00A618FE"/>
    <w:rsid w:val="00A61A9A"/>
    <w:rsid w:val="00A61F43"/>
    <w:rsid w:val="00A621A4"/>
    <w:rsid w:val="00A625D8"/>
    <w:rsid w:val="00A6264C"/>
    <w:rsid w:val="00A62658"/>
    <w:rsid w:val="00A628FA"/>
    <w:rsid w:val="00A62903"/>
    <w:rsid w:val="00A629DC"/>
    <w:rsid w:val="00A62A5C"/>
    <w:rsid w:val="00A62B93"/>
    <w:rsid w:val="00A62C11"/>
    <w:rsid w:val="00A62EC1"/>
    <w:rsid w:val="00A631DF"/>
    <w:rsid w:val="00A63564"/>
    <w:rsid w:val="00A63724"/>
    <w:rsid w:val="00A63CEC"/>
    <w:rsid w:val="00A63E83"/>
    <w:rsid w:val="00A64213"/>
    <w:rsid w:val="00A644E8"/>
    <w:rsid w:val="00A64643"/>
    <w:rsid w:val="00A65112"/>
    <w:rsid w:val="00A6518C"/>
    <w:rsid w:val="00A65409"/>
    <w:rsid w:val="00A65450"/>
    <w:rsid w:val="00A65714"/>
    <w:rsid w:val="00A657D2"/>
    <w:rsid w:val="00A65977"/>
    <w:rsid w:val="00A65B3B"/>
    <w:rsid w:val="00A665E8"/>
    <w:rsid w:val="00A6660C"/>
    <w:rsid w:val="00A66A09"/>
    <w:rsid w:val="00A66AA4"/>
    <w:rsid w:val="00A66B2F"/>
    <w:rsid w:val="00A66CAC"/>
    <w:rsid w:val="00A66E3C"/>
    <w:rsid w:val="00A674BD"/>
    <w:rsid w:val="00A6750A"/>
    <w:rsid w:val="00A67615"/>
    <w:rsid w:val="00A678EE"/>
    <w:rsid w:val="00A67CA9"/>
    <w:rsid w:val="00A67CAA"/>
    <w:rsid w:val="00A70A44"/>
    <w:rsid w:val="00A70D2A"/>
    <w:rsid w:val="00A70EA5"/>
    <w:rsid w:val="00A71875"/>
    <w:rsid w:val="00A718A4"/>
    <w:rsid w:val="00A71AF7"/>
    <w:rsid w:val="00A71B6A"/>
    <w:rsid w:val="00A720B4"/>
    <w:rsid w:val="00A7247D"/>
    <w:rsid w:val="00A7358B"/>
    <w:rsid w:val="00A73736"/>
    <w:rsid w:val="00A74023"/>
    <w:rsid w:val="00A74309"/>
    <w:rsid w:val="00A7498A"/>
    <w:rsid w:val="00A75082"/>
    <w:rsid w:val="00A75580"/>
    <w:rsid w:val="00A75887"/>
    <w:rsid w:val="00A7596A"/>
    <w:rsid w:val="00A75CE8"/>
    <w:rsid w:val="00A75D9E"/>
    <w:rsid w:val="00A76248"/>
    <w:rsid w:val="00A762FA"/>
    <w:rsid w:val="00A76A27"/>
    <w:rsid w:val="00A76FCD"/>
    <w:rsid w:val="00A77435"/>
    <w:rsid w:val="00A77892"/>
    <w:rsid w:val="00A778EB"/>
    <w:rsid w:val="00A779C6"/>
    <w:rsid w:val="00A77C36"/>
    <w:rsid w:val="00A77D41"/>
    <w:rsid w:val="00A77DAF"/>
    <w:rsid w:val="00A80575"/>
    <w:rsid w:val="00A80B7C"/>
    <w:rsid w:val="00A80B9B"/>
    <w:rsid w:val="00A81A37"/>
    <w:rsid w:val="00A81F7B"/>
    <w:rsid w:val="00A81FDB"/>
    <w:rsid w:val="00A8247E"/>
    <w:rsid w:val="00A8255E"/>
    <w:rsid w:val="00A82897"/>
    <w:rsid w:val="00A82AD9"/>
    <w:rsid w:val="00A82CFB"/>
    <w:rsid w:val="00A82D8D"/>
    <w:rsid w:val="00A82E1A"/>
    <w:rsid w:val="00A82F86"/>
    <w:rsid w:val="00A83113"/>
    <w:rsid w:val="00A8312D"/>
    <w:rsid w:val="00A8338C"/>
    <w:rsid w:val="00A8369E"/>
    <w:rsid w:val="00A836AC"/>
    <w:rsid w:val="00A83D76"/>
    <w:rsid w:val="00A83F53"/>
    <w:rsid w:val="00A83FAA"/>
    <w:rsid w:val="00A84144"/>
    <w:rsid w:val="00A842C2"/>
    <w:rsid w:val="00A842D0"/>
    <w:rsid w:val="00A844CE"/>
    <w:rsid w:val="00A8459E"/>
    <w:rsid w:val="00A846B7"/>
    <w:rsid w:val="00A8483F"/>
    <w:rsid w:val="00A84939"/>
    <w:rsid w:val="00A84B24"/>
    <w:rsid w:val="00A84EC0"/>
    <w:rsid w:val="00A84FDF"/>
    <w:rsid w:val="00A85012"/>
    <w:rsid w:val="00A85192"/>
    <w:rsid w:val="00A85376"/>
    <w:rsid w:val="00A857B3"/>
    <w:rsid w:val="00A85824"/>
    <w:rsid w:val="00A8583D"/>
    <w:rsid w:val="00A85B22"/>
    <w:rsid w:val="00A85D96"/>
    <w:rsid w:val="00A861BF"/>
    <w:rsid w:val="00A86634"/>
    <w:rsid w:val="00A869F7"/>
    <w:rsid w:val="00A86B0A"/>
    <w:rsid w:val="00A86F79"/>
    <w:rsid w:val="00A87206"/>
    <w:rsid w:val="00A8766A"/>
    <w:rsid w:val="00A8783F"/>
    <w:rsid w:val="00A87A06"/>
    <w:rsid w:val="00A87B5E"/>
    <w:rsid w:val="00A87C4F"/>
    <w:rsid w:val="00A87CDA"/>
    <w:rsid w:val="00A87D72"/>
    <w:rsid w:val="00A87EA7"/>
    <w:rsid w:val="00A900EA"/>
    <w:rsid w:val="00A90205"/>
    <w:rsid w:val="00A902E2"/>
    <w:rsid w:val="00A90880"/>
    <w:rsid w:val="00A90A26"/>
    <w:rsid w:val="00A90ADD"/>
    <w:rsid w:val="00A915D2"/>
    <w:rsid w:val="00A91732"/>
    <w:rsid w:val="00A91C14"/>
    <w:rsid w:val="00A91C2F"/>
    <w:rsid w:val="00A91E8C"/>
    <w:rsid w:val="00A921EA"/>
    <w:rsid w:val="00A9233E"/>
    <w:rsid w:val="00A923F2"/>
    <w:rsid w:val="00A9258F"/>
    <w:rsid w:val="00A9264E"/>
    <w:rsid w:val="00A928AC"/>
    <w:rsid w:val="00A92CB6"/>
    <w:rsid w:val="00A92DAC"/>
    <w:rsid w:val="00A93220"/>
    <w:rsid w:val="00A9323B"/>
    <w:rsid w:val="00A9350D"/>
    <w:rsid w:val="00A9380F"/>
    <w:rsid w:val="00A93B7E"/>
    <w:rsid w:val="00A93B7F"/>
    <w:rsid w:val="00A93BC9"/>
    <w:rsid w:val="00A93E04"/>
    <w:rsid w:val="00A93EEF"/>
    <w:rsid w:val="00A93F65"/>
    <w:rsid w:val="00A947C4"/>
    <w:rsid w:val="00A947D4"/>
    <w:rsid w:val="00A94E31"/>
    <w:rsid w:val="00A94E3F"/>
    <w:rsid w:val="00A9517B"/>
    <w:rsid w:val="00A9549B"/>
    <w:rsid w:val="00A95A75"/>
    <w:rsid w:val="00A95CB3"/>
    <w:rsid w:val="00A960C7"/>
    <w:rsid w:val="00A96600"/>
    <w:rsid w:val="00A967F0"/>
    <w:rsid w:val="00A96BF7"/>
    <w:rsid w:val="00A96E79"/>
    <w:rsid w:val="00A97032"/>
    <w:rsid w:val="00A97392"/>
    <w:rsid w:val="00A976CE"/>
    <w:rsid w:val="00A97B1E"/>
    <w:rsid w:val="00A97FAC"/>
    <w:rsid w:val="00AA046A"/>
    <w:rsid w:val="00AA09BF"/>
    <w:rsid w:val="00AA1155"/>
    <w:rsid w:val="00AA13B8"/>
    <w:rsid w:val="00AA1690"/>
    <w:rsid w:val="00AA184F"/>
    <w:rsid w:val="00AA1861"/>
    <w:rsid w:val="00AA206C"/>
    <w:rsid w:val="00AA2253"/>
    <w:rsid w:val="00AA2636"/>
    <w:rsid w:val="00AA2BE8"/>
    <w:rsid w:val="00AA2E3C"/>
    <w:rsid w:val="00AA2E86"/>
    <w:rsid w:val="00AA3367"/>
    <w:rsid w:val="00AA3826"/>
    <w:rsid w:val="00AA3985"/>
    <w:rsid w:val="00AA3EC4"/>
    <w:rsid w:val="00AA3F6E"/>
    <w:rsid w:val="00AA408F"/>
    <w:rsid w:val="00AA424C"/>
    <w:rsid w:val="00AA447C"/>
    <w:rsid w:val="00AA4B2B"/>
    <w:rsid w:val="00AA4C09"/>
    <w:rsid w:val="00AA50A8"/>
    <w:rsid w:val="00AA52B2"/>
    <w:rsid w:val="00AA5498"/>
    <w:rsid w:val="00AA5D37"/>
    <w:rsid w:val="00AA5F03"/>
    <w:rsid w:val="00AA636F"/>
    <w:rsid w:val="00AA662B"/>
    <w:rsid w:val="00AA6804"/>
    <w:rsid w:val="00AA72B8"/>
    <w:rsid w:val="00AA733D"/>
    <w:rsid w:val="00AA795D"/>
    <w:rsid w:val="00AA7BC0"/>
    <w:rsid w:val="00AA7D1B"/>
    <w:rsid w:val="00AA7E17"/>
    <w:rsid w:val="00AB009F"/>
    <w:rsid w:val="00AB041B"/>
    <w:rsid w:val="00AB083F"/>
    <w:rsid w:val="00AB0889"/>
    <w:rsid w:val="00AB0D09"/>
    <w:rsid w:val="00AB0E54"/>
    <w:rsid w:val="00AB1064"/>
    <w:rsid w:val="00AB119B"/>
    <w:rsid w:val="00AB1A84"/>
    <w:rsid w:val="00AB1B76"/>
    <w:rsid w:val="00AB1D1D"/>
    <w:rsid w:val="00AB260A"/>
    <w:rsid w:val="00AB26EB"/>
    <w:rsid w:val="00AB2718"/>
    <w:rsid w:val="00AB29FF"/>
    <w:rsid w:val="00AB2AB4"/>
    <w:rsid w:val="00AB2B06"/>
    <w:rsid w:val="00AB326D"/>
    <w:rsid w:val="00AB3715"/>
    <w:rsid w:val="00AB376D"/>
    <w:rsid w:val="00AB382B"/>
    <w:rsid w:val="00AB382F"/>
    <w:rsid w:val="00AB3F2D"/>
    <w:rsid w:val="00AB4062"/>
    <w:rsid w:val="00AB4466"/>
    <w:rsid w:val="00AB4B91"/>
    <w:rsid w:val="00AB5096"/>
    <w:rsid w:val="00AB50A3"/>
    <w:rsid w:val="00AB5207"/>
    <w:rsid w:val="00AB529E"/>
    <w:rsid w:val="00AB54E8"/>
    <w:rsid w:val="00AB587F"/>
    <w:rsid w:val="00AB58EF"/>
    <w:rsid w:val="00AB593A"/>
    <w:rsid w:val="00AB5EE1"/>
    <w:rsid w:val="00AB6174"/>
    <w:rsid w:val="00AB643E"/>
    <w:rsid w:val="00AB64AB"/>
    <w:rsid w:val="00AB6A17"/>
    <w:rsid w:val="00AB7334"/>
    <w:rsid w:val="00AB7968"/>
    <w:rsid w:val="00AB7980"/>
    <w:rsid w:val="00AB7BC7"/>
    <w:rsid w:val="00AB7CA7"/>
    <w:rsid w:val="00AB7DB1"/>
    <w:rsid w:val="00AB7E0D"/>
    <w:rsid w:val="00AC001A"/>
    <w:rsid w:val="00AC00B1"/>
    <w:rsid w:val="00AC02A0"/>
    <w:rsid w:val="00AC0341"/>
    <w:rsid w:val="00AC052A"/>
    <w:rsid w:val="00AC05A1"/>
    <w:rsid w:val="00AC14F0"/>
    <w:rsid w:val="00AC15AE"/>
    <w:rsid w:val="00AC1A52"/>
    <w:rsid w:val="00AC1D2F"/>
    <w:rsid w:val="00AC1DD8"/>
    <w:rsid w:val="00AC1FCF"/>
    <w:rsid w:val="00AC2321"/>
    <w:rsid w:val="00AC23C4"/>
    <w:rsid w:val="00AC24D2"/>
    <w:rsid w:val="00AC2572"/>
    <w:rsid w:val="00AC2A49"/>
    <w:rsid w:val="00AC2C80"/>
    <w:rsid w:val="00AC2E67"/>
    <w:rsid w:val="00AC2F10"/>
    <w:rsid w:val="00AC313D"/>
    <w:rsid w:val="00AC3694"/>
    <w:rsid w:val="00AC36BF"/>
    <w:rsid w:val="00AC39EF"/>
    <w:rsid w:val="00AC3AD8"/>
    <w:rsid w:val="00AC3EB8"/>
    <w:rsid w:val="00AC3F9E"/>
    <w:rsid w:val="00AC42A9"/>
    <w:rsid w:val="00AC4A7C"/>
    <w:rsid w:val="00AC4BF9"/>
    <w:rsid w:val="00AC4C71"/>
    <w:rsid w:val="00AC4D05"/>
    <w:rsid w:val="00AC4D5C"/>
    <w:rsid w:val="00AC623E"/>
    <w:rsid w:val="00AC6636"/>
    <w:rsid w:val="00AC71AA"/>
    <w:rsid w:val="00AC7335"/>
    <w:rsid w:val="00AC73A2"/>
    <w:rsid w:val="00AC7471"/>
    <w:rsid w:val="00AC75B1"/>
    <w:rsid w:val="00AC7640"/>
    <w:rsid w:val="00AC766D"/>
    <w:rsid w:val="00AC7C65"/>
    <w:rsid w:val="00AD01B0"/>
    <w:rsid w:val="00AD0284"/>
    <w:rsid w:val="00AD04CE"/>
    <w:rsid w:val="00AD08A8"/>
    <w:rsid w:val="00AD0B0B"/>
    <w:rsid w:val="00AD0B60"/>
    <w:rsid w:val="00AD0C65"/>
    <w:rsid w:val="00AD0DEC"/>
    <w:rsid w:val="00AD0E16"/>
    <w:rsid w:val="00AD1203"/>
    <w:rsid w:val="00AD1847"/>
    <w:rsid w:val="00AD1B6C"/>
    <w:rsid w:val="00AD1CBB"/>
    <w:rsid w:val="00AD201A"/>
    <w:rsid w:val="00AD20B2"/>
    <w:rsid w:val="00AD27B9"/>
    <w:rsid w:val="00AD312D"/>
    <w:rsid w:val="00AD317B"/>
    <w:rsid w:val="00AD34BC"/>
    <w:rsid w:val="00AD34C8"/>
    <w:rsid w:val="00AD3697"/>
    <w:rsid w:val="00AD3BF4"/>
    <w:rsid w:val="00AD3D93"/>
    <w:rsid w:val="00AD3DEC"/>
    <w:rsid w:val="00AD3EEA"/>
    <w:rsid w:val="00AD4150"/>
    <w:rsid w:val="00AD4225"/>
    <w:rsid w:val="00AD45FE"/>
    <w:rsid w:val="00AD48A6"/>
    <w:rsid w:val="00AD4B4B"/>
    <w:rsid w:val="00AD4B7F"/>
    <w:rsid w:val="00AD4E54"/>
    <w:rsid w:val="00AD4F04"/>
    <w:rsid w:val="00AD51C0"/>
    <w:rsid w:val="00AD56FB"/>
    <w:rsid w:val="00AD5961"/>
    <w:rsid w:val="00AD59B3"/>
    <w:rsid w:val="00AD5A86"/>
    <w:rsid w:val="00AD5E99"/>
    <w:rsid w:val="00AD6392"/>
    <w:rsid w:val="00AD6459"/>
    <w:rsid w:val="00AD670B"/>
    <w:rsid w:val="00AD6851"/>
    <w:rsid w:val="00AD6D8E"/>
    <w:rsid w:val="00AD6DF6"/>
    <w:rsid w:val="00AD6F52"/>
    <w:rsid w:val="00AD750F"/>
    <w:rsid w:val="00AD794F"/>
    <w:rsid w:val="00AD7A06"/>
    <w:rsid w:val="00AD7A2A"/>
    <w:rsid w:val="00AD7A7B"/>
    <w:rsid w:val="00AD7EAD"/>
    <w:rsid w:val="00AE01D6"/>
    <w:rsid w:val="00AE035A"/>
    <w:rsid w:val="00AE05AB"/>
    <w:rsid w:val="00AE0663"/>
    <w:rsid w:val="00AE06AC"/>
    <w:rsid w:val="00AE0707"/>
    <w:rsid w:val="00AE09B2"/>
    <w:rsid w:val="00AE0C49"/>
    <w:rsid w:val="00AE0CCA"/>
    <w:rsid w:val="00AE12E9"/>
    <w:rsid w:val="00AE16F9"/>
    <w:rsid w:val="00AE184A"/>
    <w:rsid w:val="00AE1923"/>
    <w:rsid w:val="00AE1924"/>
    <w:rsid w:val="00AE1974"/>
    <w:rsid w:val="00AE1BF1"/>
    <w:rsid w:val="00AE1DC3"/>
    <w:rsid w:val="00AE1EDA"/>
    <w:rsid w:val="00AE2126"/>
    <w:rsid w:val="00AE2222"/>
    <w:rsid w:val="00AE2796"/>
    <w:rsid w:val="00AE2A35"/>
    <w:rsid w:val="00AE2BB9"/>
    <w:rsid w:val="00AE2DBD"/>
    <w:rsid w:val="00AE2FAE"/>
    <w:rsid w:val="00AE2FEE"/>
    <w:rsid w:val="00AE304B"/>
    <w:rsid w:val="00AE31EB"/>
    <w:rsid w:val="00AE340D"/>
    <w:rsid w:val="00AE380C"/>
    <w:rsid w:val="00AE4790"/>
    <w:rsid w:val="00AE4793"/>
    <w:rsid w:val="00AE4AD1"/>
    <w:rsid w:val="00AE4D06"/>
    <w:rsid w:val="00AE4FB9"/>
    <w:rsid w:val="00AE519E"/>
    <w:rsid w:val="00AE5B8E"/>
    <w:rsid w:val="00AE5CC3"/>
    <w:rsid w:val="00AE5DC4"/>
    <w:rsid w:val="00AE5E85"/>
    <w:rsid w:val="00AE5F19"/>
    <w:rsid w:val="00AE6149"/>
    <w:rsid w:val="00AE61BE"/>
    <w:rsid w:val="00AE7120"/>
    <w:rsid w:val="00AE73D0"/>
    <w:rsid w:val="00AE765F"/>
    <w:rsid w:val="00AE7704"/>
    <w:rsid w:val="00AE7829"/>
    <w:rsid w:val="00AE7969"/>
    <w:rsid w:val="00AE7A3C"/>
    <w:rsid w:val="00AE7CE9"/>
    <w:rsid w:val="00AE7D06"/>
    <w:rsid w:val="00AE7D86"/>
    <w:rsid w:val="00AF0221"/>
    <w:rsid w:val="00AF078A"/>
    <w:rsid w:val="00AF07CC"/>
    <w:rsid w:val="00AF0969"/>
    <w:rsid w:val="00AF0BD8"/>
    <w:rsid w:val="00AF0D41"/>
    <w:rsid w:val="00AF1128"/>
    <w:rsid w:val="00AF120D"/>
    <w:rsid w:val="00AF1484"/>
    <w:rsid w:val="00AF1C41"/>
    <w:rsid w:val="00AF1FAE"/>
    <w:rsid w:val="00AF2BC2"/>
    <w:rsid w:val="00AF2D36"/>
    <w:rsid w:val="00AF2D62"/>
    <w:rsid w:val="00AF2FF7"/>
    <w:rsid w:val="00AF3518"/>
    <w:rsid w:val="00AF3D0B"/>
    <w:rsid w:val="00AF3F62"/>
    <w:rsid w:val="00AF4055"/>
    <w:rsid w:val="00AF409C"/>
    <w:rsid w:val="00AF4132"/>
    <w:rsid w:val="00AF41A9"/>
    <w:rsid w:val="00AF4625"/>
    <w:rsid w:val="00AF465E"/>
    <w:rsid w:val="00AF476B"/>
    <w:rsid w:val="00AF495A"/>
    <w:rsid w:val="00AF4D58"/>
    <w:rsid w:val="00AF51E9"/>
    <w:rsid w:val="00AF58A7"/>
    <w:rsid w:val="00AF5B0C"/>
    <w:rsid w:val="00AF5C9E"/>
    <w:rsid w:val="00AF6497"/>
    <w:rsid w:val="00AF6788"/>
    <w:rsid w:val="00AF6DDF"/>
    <w:rsid w:val="00AF6DE4"/>
    <w:rsid w:val="00AF6EB4"/>
    <w:rsid w:val="00AF71B5"/>
    <w:rsid w:val="00AF7690"/>
    <w:rsid w:val="00AF7A00"/>
    <w:rsid w:val="00AF7C4C"/>
    <w:rsid w:val="00AF7C7E"/>
    <w:rsid w:val="00AF7E07"/>
    <w:rsid w:val="00AF7E6A"/>
    <w:rsid w:val="00AF7E7A"/>
    <w:rsid w:val="00AF7FC0"/>
    <w:rsid w:val="00B00218"/>
    <w:rsid w:val="00B00ED8"/>
    <w:rsid w:val="00B01209"/>
    <w:rsid w:val="00B012EB"/>
    <w:rsid w:val="00B01493"/>
    <w:rsid w:val="00B01846"/>
    <w:rsid w:val="00B01CB3"/>
    <w:rsid w:val="00B02180"/>
    <w:rsid w:val="00B021CB"/>
    <w:rsid w:val="00B024F4"/>
    <w:rsid w:val="00B0262A"/>
    <w:rsid w:val="00B02F83"/>
    <w:rsid w:val="00B03043"/>
    <w:rsid w:val="00B030B9"/>
    <w:rsid w:val="00B0337C"/>
    <w:rsid w:val="00B035BC"/>
    <w:rsid w:val="00B037D1"/>
    <w:rsid w:val="00B03982"/>
    <w:rsid w:val="00B03E35"/>
    <w:rsid w:val="00B03F81"/>
    <w:rsid w:val="00B043C1"/>
    <w:rsid w:val="00B044CE"/>
    <w:rsid w:val="00B045B1"/>
    <w:rsid w:val="00B053B4"/>
    <w:rsid w:val="00B0552D"/>
    <w:rsid w:val="00B05551"/>
    <w:rsid w:val="00B05BEB"/>
    <w:rsid w:val="00B05DA7"/>
    <w:rsid w:val="00B06050"/>
    <w:rsid w:val="00B06B20"/>
    <w:rsid w:val="00B06CF5"/>
    <w:rsid w:val="00B07052"/>
    <w:rsid w:val="00B07144"/>
    <w:rsid w:val="00B071EB"/>
    <w:rsid w:val="00B0744E"/>
    <w:rsid w:val="00B07672"/>
    <w:rsid w:val="00B07873"/>
    <w:rsid w:val="00B105F6"/>
    <w:rsid w:val="00B10EF0"/>
    <w:rsid w:val="00B10F76"/>
    <w:rsid w:val="00B11097"/>
    <w:rsid w:val="00B11121"/>
    <w:rsid w:val="00B1116E"/>
    <w:rsid w:val="00B1163E"/>
    <w:rsid w:val="00B116F1"/>
    <w:rsid w:val="00B117AD"/>
    <w:rsid w:val="00B11E56"/>
    <w:rsid w:val="00B12101"/>
    <w:rsid w:val="00B1228C"/>
    <w:rsid w:val="00B124D6"/>
    <w:rsid w:val="00B1262F"/>
    <w:rsid w:val="00B12D14"/>
    <w:rsid w:val="00B12E12"/>
    <w:rsid w:val="00B13250"/>
    <w:rsid w:val="00B13733"/>
    <w:rsid w:val="00B137B4"/>
    <w:rsid w:val="00B13A27"/>
    <w:rsid w:val="00B13A78"/>
    <w:rsid w:val="00B13E2E"/>
    <w:rsid w:val="00B13E4E"/>
    <w:rsid w:val="00B1481C"/>
    <w:rsid w:val="00B1482E"/>
    <w:rsid w:val="00B14AB2"/>
    <w:rsid w:val="00B14CF8"/>
    <w:rsid w:val="00B14DBA"/>
    <w:rsid w:val="00B14E11"/>
    <w:rsid w:val="00B151F5"/>
    <w:rsid w:val="00B15879"/>
    <w:rsid w:val="00B15CDD"/>
    <w:rsid w:val="00B15EC0"/>
    <w:rsid w:val="00B15F3C"/>
    <w:rsid w:val="00B16009"/>
    <w:rsid w:val="00B162EC"/>
    <w:rsid w:val="00B164FE"/>
    <w:rsid w:val="00B168FE"/>
    <w:rsid w:val="00B169FE"/>
    <w:rsid w:val="00B16DD3"/>
    <w:rsid w:val="00B172E9"/>
    <w:rsid w:val="00B1734C"/>
    <w:rsid w:val="00B173AD"/>
    <w:rsid w:val="00B17433"/>
    <w:rsid w:val="00B175FE"/>
    <w:rsid w:val="00B177AA"/>
    <w:rsid w:val="00B1792D"/>
    <w:rsid w:val="00B17C18"/>
    <w:rsid w:val="00B17C3B"/>
    <w:rsid w:val="00B17CA2"/>
    <w:rsid w:val="00B201D8"/>
    <w:rsid w:val="00B20774"/>
    <w:rsid w:val="00B207A9"/>
    <w:rsid w:val="00B20A2D"/>
    <w:rsid w:val="00B20B3B"/>
    <w:rsid w:val="00B20BAE"/>
    <w:rsid w:val="00B20C37"/>
    <w:rsid w:val="00B20DBC"/>
    <w:rsid w:val="00B212AF"/>
    <w:rsid w:val="00B214AE"/>
    <w:rsid w:val="00B215CD"/>
    <w:rsid w:val="00B217DB"/>
    <w:rsid w:val="00B21A83"/>
    <w:rsid w:val="00B21C9D"/>
    <w:rsid w:val="00B21F17"/>
    <w:rsid w:val="00B224E1"/>
    <w:rsid w:val="00B22614"/>
    <w:rsid w:val="00B2265C"/>
    <w:rsid w:val="00B22718"/>
    <w:rsid w:val="00B22988"/>
    <w:rsid w:val="00B233F4"/>
    <w:rsid w:val="00B23486"/>
    <w:rsid w:val="00B23519"/>
    <w:rsid w:val="00B237E6"/>
    <w:rsid w:val="00B238D3"/>
    <w:rsid w:val="00B23BB1"/>
    <w:rsid w:val="00B23EC1"/>
    <w:rsid w:val="00B24544"/>
    <w:rsid w:val="00B24AD9"/>
    <w:rsid w:val="00B24B77"/>
    <w:rsid w:val="00B2579F"/>
    <w:rsid w:val="00B25883"/>
    <w:rsid w:val="00B25FFD"/>
    <w:rsid w:val="00B26314"/>
    <w:rsid w:val="00B26789"/>
    <w:rsid w:val="00B26B07"/>
    <w:rsid w:val="00B26B9F"/>
    <w:rsid w:val="00B26FDC"/>
    <w:rsid w:val="00B26FFC"/>
    <w:rsid w:val="00B27217"/>
    <w:rsid w:val="00B27421"/>
    <w:rsid w:val="00B27510"/>
    <w:rsid w:val="00B275F0"/>
    <w:rsid w:val="00B27614"/>
    <w:rsid w:val="00B27841"/>
    <w:rsid w:val="00B27BC3"/>
    <w:rsid w:val="00B27F39"/>
    <w:rsid w:val="00B309A0"/>
    <w:rsid w:val="00B30D38"/>
    <w:rsid w:val="00B30E26"/>
    <w:rsid w:val="00B3145E"/>
    <w:rsid w:val="00B3153E"/>
    <w:rsid w:val="00B31642"/>
    <w:rsid w:val="00B318AD"/>
    <w:rsid w:val="00B31A3E"/>
    <w:rsid w:val="00B31C54"/>
    <w:rsid w:val="00B31C9C"/>
    <w:rsid w:val="00B31C9F"/>
    <w:rsid w:val="00B31F46"/>
    <w:rsid w:val="00B324A4"/>
    <w:rsid w:val="00B32570"/>
    <w:rsid w:val="00B32649"/>
    <w:rsid w:val="00B327E7"/>
    <w:rsid w:val="00B328AC"/>
    <w:rsid w:val="00B33227"/>
    <w:rsid w:val="00B33368"/>
    <w:rsid w:val="00B33943"/>
    <w:rsid w:val="00B33C43"/>
    <w:rsid w:val="00B33EA6"/>
    <w:rsid w:val="00B340CB"/>
    <w:rsid w:val="00B34BC7"/>
    <w:rsid w:val="00B34D60"/>
    <w:rsid w:val="00B35067"/>
    <w:rsid w:val="00B35110"/>
    <w:rsid w:val="00B352F4"/>
    <w:rsid w:val="00B35512"/>
    <w:rsid w:val="00B357DF"/>
    <w:rsid w:val="00B35B11"/>
    <w:rsid w:val="00B35E02"/>
    <w:rsid w:val="00B35E6F"/>
    <w:rsid w:val="00B36211"/>
    <w:rsid w:val="00B362B9"/>
    <w:rsid w:val="00B362FA"/>
    <w:rsid w:val="00B366F7"/>
    <w:rsid w:val="00B36824"/>
    <w:rsid w:val="00B3685A"/>
    <w:rsid w:val="00B36A5C"/>
    <w:rsid w:val="00B36D3C"/>
    <w:rsid w:val="00B36DFB"/>
    <w:rsid w:val="00B37129"/>
    <w:rsid w:val="00B3742A"/>
    <w:rsid w:val="00B402FF"/>
    <w:rsid w:val="00B4059F"/>
    <w:rsid w:val="00B406F0"/>
    <w:rsid w:val="00B40817"/>
    <w:rsid w:val="00B40B62"/>
    <w:rsid w:val="00B4112E"/>
    <w:rsid w:val="00B41297"/>
    <w:rsid w:val="00B4140E"/>
    <w:rsid w:val="00B417CF"/>
    <w:rsid w:val="00B41C27"/>
    <w:rsid w:val="00B42983"/>
    <w:rsid w:val="00B42D6B"/>
    <w:rsid w:val="00B42E62"/>
    <w:rsid w:val="00B42E8A"/>
    <w:rsid w:val="00B4306D"/>
    <w:rsid w:val="00B430CC"/>
    <w:rsid w:val="00B43B66"/>
    <w:rsid w:val="00B43BB9"/>
    <w:rsid w:val="00B43D6A"/>
    <w:rsid w:val="00B43E2E"/>
    <w:rsid w:val="00B44285"/>
    <w:rsid w:val="00B44396"/>
    <w:rsid w:val="00B445B8"/>
    <w:rsid w:val="00B445FC"/>
    <w:rsid w:val="00B44875"/>
    <w:rsid w:val="00B448E6"/>
    <w:rsid w:val="00B44990"/>
    <w:rsid w:val="00B44B87"/>
    <w:rsid w:val="00B44C89"/>
    <w:rsid w:val="00B4541A"/>
    <w:rsid w:val="00B459C7"/>
    <w:rsid w:val="00B45B28"/>
    <w:rsid w:val="00B45D3D"/>
    <w:rsid w:val="00B45E85"/>
    <w:rsid w:val="00B461B1"/>
    <w:rsid w:val="00B466DD"/>
    <w:rsid w:val="00B468E3"/>
    <w:rsid w:val="00B46914"/>
    <w:rsid w:val="00B46987"/>
    <w:rsid w:val="00B46ABC"/>
    <w:rsid w:val="00B46CD1"/>
    <w:rsid w:val="00B46D30"/>
    <w:rsid w:val="00B47818"/>
    <w:rsid w:val="00B47AB8"/>
    <w:rsid w:val="00B47DB9"/>
    <w:rsid w:val="00B50718"/>
    <w:rsid w:val="00B50E7C"/>
    <w:rsid w:val="00B50FA0"/>
    <w:rsid w:val="00B510E4"/>
    <w:rsid w:val="00B51F73"/>
    <w:rsid w:val="00B52088"/>
    <w:rsid w:val="00B52342"/>
    <w:rsid w:val="00B5237B"/>
    <w:rsid w:val="00B52431"/>
    <w:rsid w:val="00B5262C"/>
    <w:rsid w:val="00B527DD"/>
    <w:rsid w:val="00B52952"/>
    <w:rsid w:val="00B52DC5"/>
    <w:rsid w:val="00B52E4B"/>
    <w:rsid w:val="00B532C9"/>
    <w:rsid w:val="00B53A6F"/>
    <w:rsid w:val="00B5409F"/>
    <w:rsid w:val="00B54139"/>
    <w:rsid w:val="00B5414D"/>
    <w:rsid w:val="00B54174"/>
    <w:rsid w:val="00B5469D"/>
    <w:rsid w:val="00B54B65"/>
    <w:rsid w:val="00B54FC1"/>
    <w:rsid w:val="00B554A4"/>
    <w:rsid w:val="00B55741"/>
    <w:rsid w:val="00B55968"/>
    <w:rsid w:val="00B56289"/>
    <w:rsid w:val="00B56372"/>
    <w:rsid w:val="00B56532"/>
    <w:rsid w:val="00B56697"/>
    <w:rsid w:val="00B567CE"/>
    <w:rsid w:val="00B56AEB"/>
    <w:rsid w:val="00B56DC2"/>
    <w:rsid w:val="00B57128"/>
    <w:rsid w:val="00B5727E"/>
    <w:rsid w:val="00B57702"/>
    <w:rsid w:val="00B57C72"/>
    <w:rsid w:val="00B57E7B"/>
    <w:rsid w:val="00B60240"/>
    <w:rsid w:val="00B6058F"/>
    <w:rsid w:val="00B60F47"/>
    <w:rsid w:val="00B60F5C"/>
    <w:rsid w:val="00B61110"/>
    <w:rsid w:val="00B61319"/>
    <w:rsid w:val="00B6148D"/>
    <w:rsid w:val="00B61F8B"/>
    <w:rsid w:val="00B62655"/>
    <w:rsid w:val="00B62CE2"/>
    <w:rsid w:val="00B6388F"/>
    <w:rsid w:val="00B63EF4"/>
    <w:rsid w:val="00B63F19"/>
    <w:rsid w:val="00B63F43"/>
    <w:rsid w:val="00B6410A"/>
    <w:rsid w:val="00B641F4"/>
    <w:rsid w:val="00B64265"/>
    <w:rsid w:val="00B64354"/>
    <w:rsid w:val="00B64683"/>
    <w:rsid w:val="00B64C32"/>
    <w:rsid w:val="00B65350"/>
    <w:rsid w:val="00B657DC"/>
    <w:rsid w:val="00B6603E"/>
    <w:rsid w:val="00B66159"/>
    <w:rsid w:val="00B662CE"/>
    <w:rsid w:val="00B668D4"/>
    <w:rsid w:val="00B668D6"/>
    <w:rsid w:val="00B67553"/>
    <w:rsid w:val="00B67C73"/>
    <w:rsid w:val="00B701D6"/>
    <w:rsid w:val="00B702C1"/>
    <w:rsid w:val="00B704DC"/>
    <w:rsid w:val="00B70869"/>
    <w:rsid w:val="00B70E96"/>
    <w:rsid w:val="00B70F1A"/>
    <w:rsid w:val="00B71305"/>
    <w:rsid w:val="00B71751"/>
    <w:rsid w:val="00B71A68"/>
    <w:rsid w:val="00B7212A"/>
    <w:rsid w:val="00B72226"/>
    <w:rsid w:val="00B728D9"/>
    <w:rsid w:val="00B728DF"/>
    <w:rsid w:val="00B72A9D"/>
    <w:rsid w:val="00B72F23"/>
    <w:rsid w:val="00B72F40"/>
    <w:rsid w:val="00B72FDC"/>
    <w:rsid w:val="00B73070"/>
    <w:rsid w:val="00B734A8"/>
    <w:rsid w:val="00B73592"/>
    <w:rsid w:val="00B7382A"/>
    <w:rsid w:val="00B738BB"/>
    <w:rsid w:val="00B7396C"/>
    <w:rsid w:val="00B73B51"/>
    <w:rsid w:val="00B746F8"/>
    <w:rsid w:val="00B7470A"/>
    <w:rsid w:val="00B74832"/>
    <w:rsid w:val="00B74991"/>
    <w:rsid w:val="00B74FDB"/>
    <w:rsid w:val="00B7508C"/>
    <w:rsid w:val="00B750E8"/>
    <w:rsid w:val="00B75F8B"/>
    <w:rsid w:val="00B75FB6"/>
    <w:rsid w:val="00B7611B"/>
    <w:rsid w:val="00B763BE"/>
    <w:rsid w:val="00B76580"/>
    <w:rsid w:val="00B76664"/>
    <w:rsid w:val="00B76758"/>
    <w:rsid w:val="00B76B2B"/>
    <w:rsid w:val="00B76BFF"/>
    <w:rsid w:val="00B76C9D"/>
    <w:rsid w:val="00B76EAE"/>
    <w:rsid w:val="00B76F3E"/>
    <w:rsid w:val="00B76F91"/>
    <w:rsid w:val="00B76F9B"/>
    <w:rsid w:val="00B77638"/>
    <w:rsid w:val="00B7782A"/>
    <w:rsid w:val="00B77967"/>
    <w:rsid w:val="00B77DC0"/>
    <w:rsid w:val="00B77E4A"/>
    <w:rsid w:val="00B80303"/>
    <w:rsid w:val="00B804CE"/>
    <w:rsid w:val="00B80B28"/>
    <w:rsid w:val="00B80CF5"/>
    <w:rsid w:val="00B8195C"/>
    <w:rsid w:val="00B81A96"/>
    <w:rsid w:val="00B81C82"/>
    <w:rsid w:val="00B81C9F"/>
    <w:rsid w:val="00B81E06"/>
    <w:rsid w:val="00B81F24"/>
    <w:rsid w:val="00B81FE9"/>
    <w:rsid w:val="00B8205A"/>
    <w:rsid w:val="00B82170"/>
    <w:rsid w:val="00B8228D"/>
    <w:rsid w:val="00B8281A"/>
    <w:rsid w:val="00B82B83"/>
    <w:rsid w:val="00B82BB6"/>
    <w:rsid w:val="00B82D7F"/>
    <w:rsid w:val="00B8309A"/>
    <w:rsid w:val="00B831EB"/>
    <w:rsid w:val="00B83387"/>
    <w:rsid w:val="00B834B4"/>
    <w:rsid w:val="00B83A3A"/>
    <w:rsid w:val="00B84079"/>
    <w:rsid w:val="00B8428A"/>
    <w:rsid w:val="00B84588"/>
    <w:rsid w:val="00B8474A"/>
    <w:rsid w:val="00B8484B"/>
    <w:rsid w:val="00B84CCD"/>
    <w:rsid w:val="00B84ED3"/>
    <w:rsid w:val="00B84F58"/>
    <w:rsid w:val="00B853B9"/>
    <w:rsid w:val="00B8543A"/>
    <w:rsid w:val="00B85487"/>
    <w:rsid w:val="00B85740"/>
    <w:rsid w:val="00B8593F"/>
    <w:rsid w:val="00B85BFE"/>
    <w:rsid w:val="00B85ED3"/>
    <w:rsid w:val="00B86111"/>
    <w:rsid w:val="00B862E8"/>
    <w:rsid w:val="00B8636B"/>
    <w:rsid w:val="00B8682F"/>
    <w:rsid w:val="00B86B39"/>
    <w:rsid w:val="00B86B61"/>
    <w:rsid w:val="00B86DD5"/>
    <w:rsid w:val="00B870FE"/>
    <w:rsid w:val="00B8713F"/>
    <w:rsid w:val="00B8783D"/>
    <w:rsid w:val="00B878DB"/>
    <w:rsid w:val="00B87A02"/>
    <w:rsid w:val="00B87D6C"/>
    <w:rsid w:val="00B9017C"/>
    <w:rsid w:val="00B90515"/>
    <w:rsid w:val="00B908B9"/>
    <w:rsid w:val="00B90CC5"/>
    <w:rsid w:val="00B913FD"/>
    <w:rsid w:val="00B91D62"/>
    <w:rsid w:val="00B91DD6"/>
    <w:rsid w:val="00B91EAC"/>
    <w:rsid w:val="00B9232B"/>
    <w:rsid w:val="00B92337"/>
    <w:rsid w:val="00B923EF"/>
    <w:rsid w:val="00B9256A"/>
    <w:rsid w:val="00B927E0"/>
    <w:rsid w:val="00B92964"/>
    <w:rsid w:val="00B92DA4"/>
    <w:rsid w:val="00B92E5C"/>
    <w:rsid w:val="00B932D0"/>
    <w:rsid w:val="00B933DE"/>
    <w:rsid w:val="00B9341C"/>
    <w:rsid w:val="00B9381C"/>
    <w:rsid w:val="00B93D8B"/>
    <w:rsid w:val="00B93DD9"/>
    <w:rsid w:val="00B94385"/>
    <w:rsid w:val="00B94DE9"/>
    <w:rsid w:val="00B9510D"/>
    <w:rsid w:val="00B95189"/>
    <w:rsid w:val="00B95501"/>
    <w:rsid w:val="00B9571A"/>
    <w:rsid w:val="00B95A67"/>
    <w:rsid w:val="00B95B6A"/>
    <w:rsid w:val="00B95FDA"/>
    <w:rsid w:val="00B95FEA"/>
    <w:rsid w:val="00B96202"/>
    <w:rsid w:val="00B962F1"/>
    <w:rsid w:val="00B9633A"/>
    <w:rsid w:val="00B963CA"/>
    <w:rsid w:val="00B96602"/>
    <w:rsid w:val="00B96721"/>
    <w:rsid w:val="00B96BCA"/>
    <w:rsid w:val="00B96E86"/>
    <w:rsid w:val="00B97078"/>
    <w:rsid w:val="00B97A01"/>
    <w:rsid w:val="00BA0160"/>
    <w:rsid w:val="00BA09D0"/>
    <w:rsid w:val="00BA0AF7"/>
    <w:rsid w:val="00BA0DE1"/>
    <w:rsid w:val="00BA108A"/>
    <w:rsid w:val="00BA1230"/>
    <w:rsid w:val="00BA150C"/>
    <w:rsid w:val="00BA16EC"/>
    <w:rsid w:val="00BA1A48"/>
    <w:rsid w:val="00BA1C55"/>
    <w:rsid w:val="00BA209E"/>
    <w:rsid w:val="00BA20EB"/>
    <w:rsid w:val="00BA2477"/>
    <w:rsid w:val="00BA29A7"/>
    <w:rsid w:val="00BA29A9"/>
    <w:rsid w:val="00BA2A72"/>
    <w:rsid w:val="00BA2D44"/>
    <w:rsid w:val="00BA30DA"/>
    <w:rsid w:val="00BA3574"/>
    <w:rsid w:val="00BA3F20"/>
    <w:rsid w:val="00BA4214"/>
    <w:rsid w:val="00BA4251"/>
    <w:rsid w:val="00BA427F"/>
    <w:rsid w:val="00BA43DC"/>
    <w:rsid w:val="00BA44D5"/>
    <w:rsid w:val="00BA4683"/>
    <w:rsid w:val="00BA476A"/>
    <w:rsid w:val="00BA495D"/>
    <w:rsid w:val="00BA4A97"/>
    <w:rsid w:val="00BA4B96"/>
    <w:rsid w:val="00BA4F7F"/>
    <w:rsid w:val="00BA5422"/>
    <w:rsid w:val="00BA56A2"/>
    <w:rsid w:val="00BA5AAF"/>
    <w:rsid w:val="00BA6085"/>
    <w:rsid w:val="00BA608F"/>
    <w:rsid w:val="00BA63CF"/>
    <w:rsid w:val="00BA651B"/>
    <w:rsid w:val="00BA667C"/>
    <w:rsid w:val="00BA66A7"/>
    <w:rsid w:val="00BA6B11"/>
    <w:rsid w:val="00BA6BA6"/>
    <w:rsid w:val="00BA6C90"/>
    <w:rsid w:val="00BA6FC7"/>
    <w:rsid w:val="00BA7164"/>
    <w:rsid w:val="00BA71FA"/>
    <w:rsid w:val="00BA720B"/>
    <w:rsid w:val="00BA736F"/>
    <w:rsid w:val="00BA7654"/>
    <w:rsid w:val="00BA7770"/>
    <w:rsid w:val="00BA77E1"/>
    <w:rsid w:val="00BB005A"/>
    <w:rsid w:val="00BB0468"/>
    <w:rsid w:val="00BB05C8"/>
    <w:rsid w:val="00BB06A8"/>
    <w:rsid w:val="00BB07A6"/>
    <w:rsid w:val="00BB0884"/>
    <w:rsid w:val="00BB0A7A"/>
    <w:rsid w:val="00BB0B60"/>
    <w:rsid w:val="00BB0D27"/>
    <w:rsid w:val="00BB0E76"/>
    <w:rsid w:val="00BB0FBC"/>
    <w:rsid w:val="00BB1305"/>
    <w:rsid w:val="00BB137E"/>
    <w:rsid w:val="00BB1539"/>
    <w:rsid w:val="00BB17FC"/>
    <w:rsid w:val="00BB18D5"/>
    <w:rsid w:val="00BB1926"/>
    <w:rsid w:val="00BB1B55"/>
    <w:rsid w:val="00BB1E64"/>
    <w:rsid w:val="00BB1F79"/>
    <w:rsid w:val="00BB2B20"/>
    <w:rsid w:val="00BB2B3B"/>
    <w:rsid w:val="00BB3409"/>
    <w:rsid w:val="00BB3462"/>
    <w:rsid w:val="00BB3573"/>
    <w:rsid w:val="00BB3594"/>
    <w:rsid w:val="00BB3A63"/>
    <w:rsid w:val="00BB3DBA"/>
    <w:rsid w:val="00BB3F26"/>
    <w:rsid w:val="00BB4012"/>
    <w:rsid w:val="00BB41B3"/>
    <w:rsid w:val="00BB41DB"/>
    <w:rsid w:val="00BB4207"/>
    <w:rsid w:val="00BB4594"/>
    <w:rsid w:val="00BB4BB8"/>
    <w:rsid w:val="00BB4EBF"/>
    <w:rsid w:val="00BB554F"/>
    <w:rsid w:val="00BB55E4"/>
    <w:rsid w:val="00BB5AD2"/>
    <w:rsid w:val="00BB5BB7"/>
    <w:rsid w:val="00BB5C8E"/>
    <w:rsid w:val="00BB5CA7"/>
    <w:rsid w:val="00BB60D6"/>
    <w:rsid w:val="00BB6171"/>
    <w:rsid w:val="00BB691E"/>
    <w:rsid w:val="00BB6A1C"/>
    <w:rsid w:val="00BB72ED"/>
    <w:rsid w:val="00BB72FC"/>
    <w:rsid w:val="00BB7407"/>
    <w:rsid w:val="00BB74A5"/>
    <w:rsid w:val="00BB7566"/>
    <w:rsid w:val="00BB760E"/>
    <w:rsid w:val="00BB76CB"/>
    <w:rsid w:val="00BB7726"/>
    <w:rsid w:val="00BB7A2C"/>
    <w:rsid w:val="00BB7D17"/>
    <w:rsid w:val="00BB7EA3"/>
    <w:rsid w:val="00BB7F44"/>
    <w:rsid w:val="00BC01E1"/>
    <w:rsid w:val="00BC0461"/>
    <w:rsid w:val="00BC0791"/>
    <w:rsid w:val="00BC083A"/>
    <w:rsid w:val="00BC093C"/>
    <w:rsid w:val="00BC0946"/>
    <w:rsid w:val="00BC094A"/>
    <w:rsid w:val="00BC0A1C"/>
    <w:rsid w:val="00BC0D68"/>
    <w:rsid w:val="00BC0D7C"/>
    <w:rsid w:val="00BC0F3E"/>
    <w:rsid w:val="00BC108D"/>
    <w:rsid w:val="00BC14E7"/>
    <w:rsid w:val="00BC1689"/>
    <w:rsid w:val="00BC25B5"/>
    <w:rsid w:val="00BC27BC"/>
    <w:rsid w:val="00BC2B73"/>
    <w:rsid w:val="00BC2CA5"/>
    <w:rsid w:val="00BC3291"/>
    <w:rsid w:val="00BC3421"/>
    <w:rsid w:val="00BC364D"/>
    <w:rsid w:val="00BC3CAD"/>
    <w:rsid w:val="00BC3D81"/>
    <w:rsid w:val="00BC3DA6"/>
    <w:rsid w:val="00BC4154"/>
    <w:rsid w:val="00BC423C"/>
    <w:rsid w:val="00BC433C"/>
    <w:rsid w:val="00BC4471"/>
    <w:rsid w:val="00BC44F1"/>
    <w:rsid w:val="00BC45F7"/>
    <w:rsid w:val="00BC4AED"/>
    <w:rsid w:val="00BC4D72"/>
    <w:rsid w:val="00BC4EF5"/>
    <w:rsid w:val="00BC536F"/>
    <w:rsid w:val="00BC55FD"/>
    <w:rsid w:val="00BC56A5"/>
    <w:rsid w:val="00BC5D97"/>
    <w:rsid w:val="00BC5EC5"/>
    <w:rsid w:val="00BC6190"/>
    <w:rsid w:val="00BC61C6"/>
    <w:rsid w:val="00BC6218"/>
    <w:rsid w:val="00BC671B"/>
    <w:rsid w:val="00BC6A18"/>
    <w:rsid w:val="00BC6D40"/>
    <w:rsid w:val="00BC6D6E"/>
    <w:rsid w:val="00BC6DAA"/>
    <w:rsid w:val="00BC7467"/>
    <w:rsid w:val="00BC787D"/>
    <w:rsid w:val="00BC788A"/>
    <w:rsid w:val="00BC7B08"/>
    <w:rsid w:val="00BC7BB4"/>
    <w:rsid w:val="00BC7DF7"/>
    <w:rsid w:val="00BC7E2D"/>
    <w:rsid w:val="00BC7E5B"/>
    <w:rsid w:val="00BD004A"/>
    <w:rsid w:val="00BD00DD"/>
    <w:rsid w:val="00BD07DB"/>
    <w:rsid w:val="00BD0AD5"/>
    <w:rsid w:val="00BD10CB"/>
    <w:rsid w:val="00BD12B6"/>
    <w:rsid w:val="00BD15D0"/>
    <w:rsid w:val="00BD21C9"/>
    <w:rsid w:val="00BD25EA"/>
    <w:rsid w:val="00BD2794"/>
    <w:rsid w:val="00BD299E"/>
    <w:rsid w:val="00BD35C8"/>
    <w:rsid w:val="00BD3786"/>
    <w:rsid w:val="00BD37E5"/>
    <w:rsid w:val="00BD3825"/>
    <w:rsid w:val="00BD398B"/>
    <w:rsid w:val="00BD3B59"/>
    <w:rsid w:val="00BD3C68"/>
    <w:rsid w:val="00BD3EBF"/>
    <w:rsid w:val="00BD3F23"/>
    <w:rsid w:val="00BD421A"/>
    <w:rsid w:val="00BD4324"/>
    <w:rsid w:val="00BD4501"/>
    <w:rsid w:val="00BD45C6"/>
    <w:rsid w:val="00BD4A01"/>
    <w:rsid w:val="00BD4C3E"/>
    <w:rsid w:val="00BD4D49"/>
    <w:rsid w:val="00BD4E98"/>
    <w:rsid w:val="00BD529C"/>
    <w:rsid w:val="00BD542B"/>
    <w:rsid w:val="00BD5555"/>
    <w:rsid w:val="00BD5672"/>
    <w:rsid w:val="00BD56B2"/>
    <w:rsid w:val="00BD5CC2"/>
    <w:rsid w:val="00BD5E58"/>
    <w:rsid w:val="00BD6156"/>
    <w:rsid w:val="00BD6A79"/>
    <w:rsid w:val="00BD6C83"/>
    <w:rsid w:val="00BD6F64"/>
    <w:rsid w:val="00BD6FCE"/>
    <w:rsid w:val="00BD749C"/>
    <w:rsid w:val="00BD7895"/>
    <w:rsid w:val="00BD7B1F"/>
    <w:rsid w:val="00BE0484"/>
    <w:rsid w:val="00BE0842"/>
    <w:rsid w:val="00BE0A8A"/>
    <w:rsid w:val="00BE0CE0"/>
    <w:rsid w:val="00BE0D1C"/>
    <w:rsid w:val="00BE0D38"/>
    <w:rsid w:val="00BE0E5C"/>
    <w:rsid w:val="00BE0F1A"/>
    <w:rsid w:val="00BE0FB1"/>
    <w:rsid w:val="00BE109A"/>
    <w:rsid w:val="00BE11E8"/>
    <w:rsid w:val="00BE1444"/>
    <w:rsid w:val="00BE1D68"/>
    <w:rsid w:val="00BE1D73"/>
    <w:rsid w:val="00BE1ED5"/>
    <w:rsid w:val="00BE209A"/>
    <w:rsid w:val="00BE229A"/>
    <w:rsid w:val="00BE2795"/>
    <w:rsid w:val="00BE3177"/>
    <w:rsid w:val="00BE3238"/>
    <w:rsid w:val="00BE35E0"/>
    <w:rsid w:val="00BE364C"/>
    <w:rsid w:val="00BE3850"/>
    <w:rsid w:val="00BE4020"/>
    <w:rsid w:val="00BE45FE"/>
    <w:rsid w:val="00BE4FA6"/>
    <w:rsid w:val="00BE536E"/>
    <w:rsid w:val="00BE5448"/>
    <w:rsid w:val="00BE6255"/>
    <w:rsid w:val="00BE670B"/>
    <w:rsid w:val="00BE67F7"/>
    <w:rsid w:val="00BE6CC6"/>
    <w:rsid w:val="00BE716A"/>
    <w:rsid w:val="00BE7241"/>
    <w:rsid w:val="00BE73CB"/>
    <w:rsid w:val="00BE7685"/>
    <w:rsid w:val="00BE7C69"/>
    <w:rsid w:val="00BE7E19"/>
    <w:rsid w:val="00BF005D"/>
    <w:rsid w:val="00BF013B"/>
    <w:rsid w:val="00BF02CE"/>
    <w:rsid w:val="00BF0354"/>
    <w:rsid w:val="00BF0436"/>
    <w:rsid w:val="00BF0867"/>
    <w:rsid w:val="00BF0D50"/>
    <w:rsid w:val="00BF13D5"/>
    <w:rsid w:val="00BF1554"/>
    <w:rsid w:val="00BF19F7"/>
    <w:rsid w:val="00BF1BF5"/>
    <w:rsid w:val="00BF21A5"/>
    <w:rsid w:val="00BF21EA"/>
    <w:rsid w:val="00BF22C5"/>
    <w:rsid w:val="00BF23F3"/>
    <w:rsid w:val="00BF267E"/>
    <w:rsid w:val="00BF282E"/>
    <w:rsid w:val="00BF28A9"/>
    <w:rsid w:val="00BF2A1F"/>
    <w:rsid w:val="00BF2D53"/>
    <w:rsid w:val="00BF32F4"/>
    <w:rsid w:val="00BF35EE"/>
    <w:rsid w:val="00BF3A3F"/>
    <w:rsid w:val="00BF3C0C"/>
    <w:rsid w:val="00BF3D50"/>
    <w:rsid w:val="00BF3D67"/>
    <w:rsid w:val="00BF4243"/>
    <w:rsid w:val="00BF4297"/>
    <w:rsid w:val="00BF4499"/>
    <w:rsid w:val="00BF4507"/>
    <w:rsid w:val="00BF45EB"/>
    <w:rsid w:val="00BF45F7"/>
    <w:rsid w:val="00BF483B"/>
    <w:rsid w:val="00BF4D22"/>
    <w:rsid w:val="00BF5069"/>
    <w:rsid w:val="00BF50B2"/>
    <w:rsid w:val="00BF5403"/>
    <w:rsid w:val="00BF552E"/>
    <w:rsid w:val="00BF5532"/>
    <w:rsid w:val="00BF568E"/>
    <w:rsid w:val="00BF577B"/>
    <w:rsid w:val="00BF583F"/>
    <w:rsid w:val="00BF5B69"/>
    <w:rsid w:val="00BF5D8F"/>
    <w:rsid w:val="00BF5DCB"/>
    <w:rsid w:val="00BF5E06"/>
    <w:rsid w:val="00BF66B8"/>
    <w:rsid w:val="00BF6AB1"/>
    <w:rsid w:val="00BF6CC3"/>
    <w:rsid w:val="00BF7012"/>
    <w:rsid w:val="00BF76E7"/>
    <w:rsid w:val="00BF7BEF"/>
    <w:rsid w:val="00BF7C49"/>
    <w:rsid w:val="00BF7D39"/>
    <w:rsid w:val="00BF7E0F"/>
    <w:rsid w:val="00C003B0"/>
    <w:rsid w:val="00C00A74"/>
    <w:rsid w:val="00C00A93"/>
    <w:rsid w:val="00C00B01"/>
    <w:rsid w:val="00C012CF"/>
    <w:rsid w:val="00C013DB"/>
    <w:rsid w:val="00C01583"/>
    <w:rsid w:val="00C015AC"/>
    <w:rsid w:val="00C015EE"/>
    <w:rsid w:val="00C01B0F"/>
    <w:rsid w:val="00C01B38"/>
    <w:rsid w:val="00C01D98"/>
    <w:rsid w:val="00C027D5"/>
    <w:rsid w:val="00C0282D"/>
    <w:rsid w:val="00C02A46"/>
    <w:rsid w:val="00C02A8C"/>
    <w:rsid w:val="00C02C58"/>
    <w:rsid w:val="00C02ED1"/>
    <w:rsid w:val="00C02F93"/>
    <w:rsid w:val="00C032AE"/>
    <w:rsid w:val="00C0345E"/>
    <w:rsid w:val="00C037A8"/>
    <w:rsid w:val="00C03AEA"/>
    <w:rsid w:val="00C03B26"/>
    <w:rsid w:val="00C03B85"/>
    <w:rsid w:val="00C03FC9"/>
    <w:rsid w:val="00C0426B"/>
    <w:rsid w:val="00C04276"/>
    <w:rsid w:val="00C04A23"/>
    <w:rsid w:val="00C04C76"/>
    <w:rsid w:val="00C04D78"/>
    <w:rsid w:val="00C05072"/>
    <w:rsid w:val="00C050AC"/>
    <w:rsid w:val="00C05243"/>
    <w:rsid w:val="00C0572D"/>
    <w:rsid w:val="00C05942"/>
    <w:rsid w:val="00C05BFF"/>
    <w:rsid w:val="00C0614E"/>
    <w:rsid w:val="00C06BDF"/>
    <w:rsid w:val="00C06F49"/>
    <w:rsid w:val="00C0701F"/>
    <w:rsid w:val="00C0718E"/>
    <w:rsid w:val="00C071BE"/>
    <w:rsid w:val="00C0795E"/>
    <w:rsid w:val="00C07F85"/>
    <w:rsid w:val="00C10155"/>
    <w:rsid w:val="00C104A8"/>
    <w:rsid w:val="00C105C9"/>
    <w:rsid w:val="00C1062D"/>
    <w:rsid w:val="00C10645"/>
    <w:rsid w:val="00C10768"/>
    <w:rsid w:val="00C10918"/>
    <w:rsid w:val="00C10A39"/>
    <w:rsid w:val="00C10AED"/>
    <w:rsid w:val="00C10BE8"/>
    <w:rsid w:val="00C10C15"/>
    <w:rsid w:val="00C10C8C"/>
    <w:rsid w:val="00C10D7B"/>
    <w:rsid w:val="00C10F09"/>
    <w:rsid w:val="00C11073"/>
    <w:rsid w:val="00C11312"/>
    <w:rsid w:val="00C1131D"/>
    <w:rsid w:val="00C116A0"/>
    <w:rsid w:val="00C11745"/>
    <w:rsid w:val="00C120B0"/>
    <w:rsid w:val="00C1210C"/>
    <w:rsid w:val="00C122ED"/>
    <w:rsid w:val="00C12462"/>
    <w:rsid w:val="00C124CB"/>
    <w:rsid w:val="00C128C0"/>
    <w:rsid w:val="00C12A34"/>
    <w:rsid w:val="00C12DDF"/>
    <w:rsid w:val="00C12DF7"/>
    <w:rsid w:val="00C12E4F"/>
    <w:rsid w:val="00C12E8A"/>
    <w:rsid w:val="00C12FCC"/>
    <w:rsid w:val="00C13691"/>
    <w:rsid w:val="00C13745"/>
    <w:rsid w:val="00C1393F"/>
    <w:rsid w:val="00C14B24"/>
    <w:rsid w:val="00C15709"/>
    <w:rsid w:val="00C15FBA"/>
    <w:rsid w:val="00C164F9"/>
    <w:rsid w:val="00C16587"/>
    <w:rsid w:val="00C1668A"/>
    <w:rsid w:val="00C16772"/>
    <w:rsid w:val="00C16BC2"/>
    <w:rsid w:val="00C16D42"/>
    <w:rsid w:val="00C16F21"/>
    <w:rsid w:val="00C16FEE"/>
    <w:rsid w:val="00C170F4"/>
    <w:rsid w:val="00C17234"/>
    <w:rsid w:val="00C1736C"/>
    <w:rsid w:val="00C17A03"/>
    <w:rsid w:val="00C17D05"/>
    <w:rsid w:val="00C17FBB"/>
    <w:rsid w:val="00C200C0"/>
    <w:rsid w:val="00C20259"/>
    <w:rsid w:val="00C203DE"/>
    <w:rsid w:val="00C20464"/>
    <w:rsid w:val="00C204D7"/>
    <w:rsid w:val="00C20B08"/>
    <w:rsid w:val="00C20CEA"/>
    <w:rsid w:val="00C20D9F"/>
    <w:rsid w:val="00C21480"/>
    <w:rsid w:val="00C218CB"/>
    <w:rsid w:val="00C2193F"/>
    <w:rsid w:val="00C223EB"/>
    <w:rsid w:val="00C2244D"/>
    <w:rsid w:val="00C227B9"/>
    <w:rsid w:val="00C22825"/>
    <w:rsid w:val="00C22B0F"/>
    <w:rsid w:val="00C22B36"/>
    <w:rsid w:val="00C22BE9"/>
    <w:rsid w:val="00C22D39"/>
    <w:rsid w:val="00C23295"/>
    <w:rsid w:val="00C232B0"/>
    <w:rsid w:val="00C23587"/>
    <w:rsid w:val="00C23913"/>
    <w:rsid w:val="00C23FA6"/>
    <w:rsid w:val="00C24607"/>
    <w:rsid w:val="00C248FC"/>
    <w:rsid w:val="00C24C15"/>
    <w:rsid w:val="00C24D11"/>
    <w:rsid w:val="00C24E73"/>
    <w:rsid w:val="00C25174"/>
    <w:rsid w:val="00C2521A"/>
    <w:rsid w:val="00C25C00"/>
    <w:rsid w:val="00C25CF7"/>
    <w:rsid w:val="00C26168"/>
    <w:rsid w:val="00C261F6"/>
    <w:rsid w:val="00C26AB1"/>
    <w:rsid w:val="00C26C69"/>
    <w:rsid w:val="00C2708B"/>
    <w:rsid w:val="00C2717F"/>
    <w:rsid w:val="00C27278"/>
    <w:rsid w:val="00C27743"/>
    <w:rsid w:val="00C277F6"/>
    <w:rsid w:val="00C27A10"/>
    <w:rsid w:val="00C27B49"/>
    <w:rsid w:val="00C27B71"/>
    <w:rsid w:val="00C27D48"/>
    <w:rsid w:val="00C27DD9"/>
    <w:rsid w:val="00C303D2"/>
    <w:rsid w:val="00C3048D"/>
    <w:rsid w:val="00C3088A"/>
    <w:rsid w:val="00C30C1C"/>
    <w:rsid w:val="00C30C9C"/>
    <w:rsid w:val="00C30CC4"/>
    <w:rsid w:val="00C31077"/>
    <w:rsid w:val="00C3126E"/>
    <w:rsid w:val="00C313FD"/>
    <w:rsid w:val="00C31856"/>
    <w:rsid w:val="00C318B2"/>
    <w:rsid w:val="00C31ADC"/>
    <w:rsid w:val="00C31CB4"/>
    <w:rsid w:val="00C31E11"/>
    <w:rsid w:val="00C32342"/>
    <w:rsid w:val="00C32BAA"/>
    <w:rsid w:val="00C32F36"/>
    <w:rsid w:val="00C330FA"/>
    <w:rsid w:val="00C3329F"/>
    <w:rsid w:val="00C33C41"/>
    <w:rsid w:val="00C33D16"/>
    <w:rsid w:val="00C34116"/>
    <w:rsid w:val="00C345E3"/>
    <w:rsid w:val="00C34867"/>
    <w:rsid w:val="00C34BC0"/>
    <w:rsid w:val="00C34F5A"/>
    <w:rsid w:val="00C35142"/>
    <w:rsid w:val="00C35542"/>
    <w:rsid w:val="00C355D1"/>
    <w:rsid w:val="00C35704"/>
    <w:rsid w:val="00C35743"/>
    <w:rsid w:val="00C35B0E"/>
    <w:rsid w:val="00C35CB2"/>
    <w:rsid w:val="00C35CC4"/>
    <w:rsid w:val="00C362EC"/>
    <w:rsid w:val="00C36B1B"/>
    <w:rsid w:val="00C36E14"/>
    <w:rsid w:val="00C37129"/>
    <w:rsid w:val="00C372EA"/>
    <w:rsid w:val="00C37591"/>
    <w:rsid w:val="00C37831"/>
    <w:rsid w:val="00C378EB"/>
    <w:rsid w:val="00C37A57"/>
    <w:rsid w:val="00C37E95"/>
    <w:rsid w:val="00C37F8F"/>
    <w:rsid w:val="00C4008C"/>
    <w:rsid w:val="00C40786"/>
    <w:rsid w:val="00C40962"/>
    <w:rsid w:val="00C40C38"/>
    <w:rsid w:val="00C40D10"/>
    <w:rsid w:val="00C40D52"/>
    <w:rsid w:val="00C40DD2"/>
    <w:rsid w:val="00C41522"/>
    <w:rsid w:val="00C415FF"/>
    <w:rsid w:val="00C416B1"/>
    <w:rsid w:val="00C4180A"/>
    <w:rsid w:val="00C41F54"/>
    <w:rsid w:val="00C425BE"/>
    <w:rsid w:val="00C42619"/>
    <w:rsid w:val="00C4261A"/>
    <w:rsid w:val="00C42E6E"/>
    <w:rsid w:val="00C4305E"/>
    <w:rsid w:val="00C43812"/>
    <w:rsid w:val="00C43E22"/>
    <w:rsid w:val="00C43E9B"/>
    <w:rsid w:val="00C43FD2"/>
    <w:rsid w:val="00C4421B"/>
    <w:rsid w:val="00C446C9"/>
    <w:rsid w:val="00C44942"/>
    <w:rsid w:val="00C449B3"/>
    <w:rsid w:val="00C44AA9"/>
    <w:rsid w:val="00C44E6D"/>
    <w:rsid w:val="00C453AF"/>
    <w:rsid w:val="00C45446"/>
    <w:rsid w:val="00C458C6"/>
    <w:rsid w:val="00C45A73"/>
    <w:rsid w:val="00C45D24"/>
    <w:rsid w:val="00C45FCA"/>
    <w:rsid w:val="00C46396"/>
    <w:rsid w:val="00C463CE"/>
    <w:rsid w:val="00C4683C"/>
    <w:rsid w:val="00C46D14"/>
    <w:rsid w:val="00C46D1E"/>
    <w:rsid w:val="00C46E8A"/>
    <w:rsid w:val="00C46EA7"/>
    <w:rsid w:val="00C4712D"/>
    <w:rsid w:val="00C47519"/>
    <w:rsid w:val="00C477CE"/>
    <w:rsid w:val="00C4794C"/>
    <w:rsid w:val="00C47BDF"/>
    <w:rsid w:val="00C47C46"/>
    <w:rsid w:val="00C50348"/>
    <w:rsid w:val="00C50A6F"/>
    <w:rsid w:val="00C50C9F"/>
    <w:rsid w:val="00C51066"/>
    <w:rsid w:val="00C51485"/>
    <w:rsid w:val="00C51878"/>
    <w:rsid w:val="00C519BB"/>
    <w:rsid w:val="00C51C4A"/>
    <w:rsid w:val="00C51E5C"/>
    <w:rsid w:val="00C5205B"/>
    <w:rsid w:val="00C52615"/>
    <w:rsid w:val="00C5285F"/>
    <w:rsid w:val="00C52962"/>
    <w:rsid w:val="00C52A30"/>
    <w:rsid w:val="00C52C62"/>
    <w:rsid w:val="00C52DE0"/>
    <w:rsid w:val="00C536B2"/>
    <w:rsid w:val="00C5383A"/>
    <w:rsid w:val="00C53ADC"/>
    <w:rsid w:val="00C53AE9"/>
    <w:rsid w:val="00C5407A"/>
    <w:rsid w:val="00C54246"/>
    <w:rsid w:val="00C542CF"/>
    <w:rsid w:val="00C5439C"/>
    <w:rsid w:val="00C54464"/>
    <w:rsid w:val="00C54999"/>
    <w:rsid w:val="00C54A24"/>
    <w:rsid w:val="00C54DFA"/>
    <w:rsid w:val="00C54E02"/>
    <w:rsid w:val="00C551DE"/>
    <w:rsid w:val="00C55296"/>
    <w:rsid w:val="00C5591C"/>
    <w:rsid w:val="00C5591E"/>
    <w:rsid w:val="00C55E74"/>
    <w:rsid w:val="00C55FB6"/>
    <w:rsid w:val="00C56271"/>
    <w:rsid w:val="00C56391"/>
    <w:rsid w:val="00C5653A"/>
    <w:rsid w:val="00C56722"/>
    <w:rsid w:val="00C57122"/>
    <w:rsid w:val="00C5722E"/>
    <w:rsid w:val="00C577BF"/>
    <w:rsid w:val="00C578EF"/>
    <w:rsid w:val="00C57BC7"/>
    <w:rsid w:val="00C57C11"/>
    <w:rsid w:val="00C57D46"/>
    <w:rsid w:val="00C57EBA"/>
    <w:rsid w:val="00C6007D"/>
    <w:rsid w:val="00C60465"/>
    <w:rsid w:val="00C60659"/>
    <w:rsid w:val="00C60710"/>
    <w:rsid w:val="00C6092E"/>
    <w:rsid w:val="00C60E8E"/>
    <w:rsid w:val="00C60FAF"/>
    <w:rsid w:val="00C60FCC"/>
    <w:rsid w:val="00C6111C"/>
    <w:rsid w:val="00C611C1"/>
    <w:rsid w:val="00C615CE"/>
    <w:rsid w:val="00C61D92"/>
    <w:rsid w:val="00C62797"/>
    <w:rsid w:val="00C627B2"/>
    <w:rsid w:val="00C62840"/>
    <w:rsid w:val="00C62ADA"/>
    <w:rsid w:val="00C62D80"/>
    <w:rsid w:val="00C63612"/>
    <w:rsid w:val="00C636E9"/>
    <w:rsid w:val="00C637E4"/>
    <w:rsid w:val="00C63D0C"/>
    <w:rsid w:val="00C63DE0"/>
    <w:rsid w:val="00C6401E"/>
    <w:rsid w:val="00C64236"/>
    <w:rsid w:val="00C647CD"/>
    <w:rsid w:val="00C64A49"/>
    <w:rsid w:val="00C64C29"/>
    <w:rsid w:val="00C650FC"/>
    <w:rsid w:val="00C65123"/>
    <w:rsid w:val="00C653C3"/>
    <w:rsid w:val="00C65481"/>
    <w:rsid w:val="00C657C0"/>
    <w:rsid w:val="00C657DB"/>
    <w:rsid w:val="00C6600A"/>
    <w:rsid w:val="00C6607D"/>
    <w:rsid w:val="00C66092"/>
    <w:rsid w:val="00C6616A"/>
    <w:rsid w:val="00C66320"/>
    <w:rsid w:val="00C6645C"/>
    <w:rsid w:val="00C664AC"/>
    <w:rsid w:val="00C668EB"/>
    <w:rsid w:val="00C66C13"/>
    <w:rsid w:val="00C66D57"/>
    <w:rsid w:val="00C66FB1"/>
    <w:rsid w:val="00C670D9"/>
    <w:rsid w:val="00C67270"/>
    <w:rsid w:val="00C6784A"/>
    <w:rsid w:val="00C67BA8"/>
    <w:rsid w:val="00C67DD8"/>
    <w:rsid w:val="00C7095D"/>
    <w:rsid w:val="00C70CA5"/>
    <w:rsid w:val="00C70E3E"/>
    <w:rsid w:val="00C70F40"/>
    <w:rsid w:val="00C71283"/>
    <w:rsid w:val="00C713FB"/>
    <w:rsid w:val="00C715EC"/>
    <w:rsid w:val="00C71838"/>
    <w:rsid w:val="00C7195D"/>
    <w:rsid w:val="00C71AEE"/>
    <w:rsid w:val="00C71DE1"/>
    <w:rsid w:val="00C71E2F"/>
    <w:rsid w:val="00C720B7"/>
    <w:rsid w:val="00C721E3"/>
    <w:rsid w:val="00C7229C"/>
    <w:rsid w:val="00C72344"/>
    <w:rsid w:val="00C72D8B"/>
    <w:rsid w:val="00C72E11"/>
    <w:rsid w:val="00C72EDA"/>
    <w:rsid w:val="00C730CA"/>
    <w:rsid w:val="00C731AE"/>
    <w:rsid w:val="00C73C04"/>
    <w:rsid w:val="00C73D35"/>
    <w:rsid w:val="00C73F04"/>
    <w:rsid w:val="00C743A1"/>
    <w:rsid w:val="00C74569"/>
    <w:rsid w:val="00C7478B"/>
    <w:rsid w:val="00C748F5"/>
    <w:rsid w:val="00C74B50"/>
    <w:rsid w:val="00C74C3A"/>
    <w:rsid w:val="00C74C7A"/>
    <w:rsid w:val="00C75016"/>
    <w:rsid w:val="00C7538F"/>
    <w:rsid w:val="00C755BA"/>
    <w:rsid w:val="00C758EB"/>
    <w:rsid w:val="00C75AC0"/>
    <w:rsid w:val="00C75AEC"/>
    <w:rsid w:val="00C75BF4"/>
    <w:rsid w:val="00C75C62"/>
    <w:rsid w:val="00C75D41"/>
    <w:rsid w:val="00C75EA7"/>
    <w:rsid w:val="00C7604E"/>
    <w:rsid w:val="00C76455"/>
    <w:rsid w:val="00C76931"/>
    <w:rsid w:val="00C769FD"/>
    <w:rsid w:val="00C76AE3"/>
    <w:rsid w:val="00C77189"/>
    <w:rsid w:val="00C771F8"/>
    <w:rsid w:val="00C77598"/>
    <w:rsid w:val="00C77622"/>
    <w:rsid w:val="00C777F9"/>
    <w:rsid w:val="00C77A27"/>
    <w:rsid w:val="00C77E45"/>
    <w:rsid w:val="00C8001B"/>
    <w:rsid w:val="00C802C7"/>
    <w:rsid w:val="00C803A2"/>
    <w:rsid w:val="00C803AE"/>
    <w:rsid w:val="00C80450"/>
    <w:rsid w:val="00C805CA"/>
    <w:rsid w:val="00C80AA4"/>
    <w:rsid w:val="00C80D9E"/>
    <w:rsid w:val="00C80FC9"/>
    <w:rsid w:val="00C815F6"/>
    <w:rsid w:val="00C81701"/>
    <w:rsid w:val="00C819D7"/>
    <w:rsid w:val="00C81F6A"/>
    <w:rsid w:val="00C82260"/>
    <w:rsid w:val="00C8228F"/>
    <w:rsid w:val="00C8247C"/>
    <w:rsid w:val="00C824DA"/>
    <w:rsid w:val="00C82A06"/>
    <w:rsid w:val="00C8382D"/>
    <w:rsid w:val="00C84094"/>
    <w:rsid w:val="00C840A1"/>
    <w:rsid w:val="00C84217"/>
    <w:rsid w:val="00C84BC1"/>
    <w:rsid w:val="00C84EF5"/>
    <w:rsid w:val="00C85152"/>
    <w:rsid w:val="00C8522C"/>
    <w:rsid w:val="00C852D2"/>
    <w:rsid w:val="00C8540E"/>
    <w:rsid w:val="00C85784"/>
    <w:rsid w:val="00C857EE"/>
    <w:rsid w:val="00C85E83"/>
    <w:rsid w:val="00C86089"/>
    <w:rsid w:val="00C86363"/>
    <w:rsid w:val="00C866C8"/>
    <w:rsid w:val="00C86797"/>
    <w:rsid w:val="00C86825"/>
    <w:rsid w:val="00C86835"/>
    <w:rsid w:val="00C86838"/>
    <w:rsid w:val="00C86E0A"/>
    <w:rsid w:val="00C87000"/>
    <w:rsid w:val="00C870C2"/>
    <w:rsid w:val="00C872FD"/>
    <w:rsid w:val="00C87397"/>
    <w:rsid w:val="00C878E9"/>
    <w:rsid w:val="00C87A81"/>
    <w:rsid w:val="00C87CBE"/>
    <w:rsid w:val="00C87FC4"/>
    <w:rsid w:val="00C90442"/>
    <w:rsid w:val="00C90635"/>
    <w:rsid w:val="00C90660"/>
    <w:rsid w:val="00C9084A"/>
    <w:rsid w:val="00C90D2D"/>
    <w:rsid w:val="00C90D8D"/>
    <w:rsid w:val="00C90E8E"/>
    <w:rsid w:val="00C9121C"/>
    <w:rsid w:val="00C91340"/>
    <w:rsid w:val="00C9139D"/>
    <w:rsid w:val="00C91AF4"/>
    <w:rsid w:val="00C91BE4"/>
    <w:rsid w:val="00C91CE9"/>
    <w:rsid w:val="00C91ED9"/>
    <w:rsid w:val="00C9209A"/>
    <w:rsid w:val="00C923DE"/>
    <w:rsid w:val="00C9251C"/>
    <w:rsid w:val="00C9272E"/>
    <w:rsid w:val="00C92945"/>
    <w:rsid w:val="00C92A30"/>
    <w:rsid w:val="00C92ABC"/>
    <w:rsid w:val="00C92AC4"/>
    <w:rsid w:val="00C92C76"/>
    <w:rsid w:val="00C92CFB"/>
    <w:rsid w:val="00C92E19"/>
    <w:rsid w:val="00C92FA3"/>
    <w:rsid w:val="00C93259"/>
    <w:rsid w:val="00C9326F"/>
    <w:rsid w:val="00C935B9"/>
    <w:rsid w:val="00C93B32"/>
    <w:rsid w:val="00C93B35"/>
    <w:rsid w:val="00C93D45"/>
    <w:rsid w:val="00C93D63"/>
    <w:rsid w:val="00C93F04"/>
    <w:rsid w:val="00C9401D"/>
    <w:rsid w:val="00C9475A"/>
    <w:rsid w:val="00C947C0"/>
    <w:rsid w:val="00C94925"/>
    <w:rsid w:val="00C94A8C"/>
    <w:rsid w:val="00C94B10"/>
    <w:rsid w:val="00C94C7E"/>
    <w:rsid w:val="00C94CB1"/>
    <w:rsid w:val="00C94DB8"/>
    <w:rsid w:val="00C94F66"/>
    <w:rsid w:val="00C95082"/>
    <w:rsid w:val="00C952AA"/>
    <w:rsid w:val="00C95576"/>
    <w:rsid w:val="00C95C43"/>
    <w:rsid w:val="00C95DD3"/>
    <w:rsid w:val="00C9610F"/>
    <w:rsid w:val="00C9638D"/>
    <w:rsid w:val="00C97870"/>
    <w:rsid w:val="00C97D17"/>
    <w:rsid w:val="00C97E34"/>
    <w:rsid w:val="00CA01F7"/>
    <w:rsid w:val="00CA0411"/>
    <w:rsid w:val="00CA044E"/>
    <w:rsid w:val="00CA08AD"/>
    <w:rsid w:val="00CA0A73"/>
    <w:rsid w:val="00CA0DD8"/>
    <w:rsid w:val="00CA120C"/>
    <w:rsid w:val="00CA16FB"/>
    <w:rsid w:val="00CA1AD9"/>
    <w:rsid w:val="00CA1B46"/>
    <w:rsid w:val="00CA1B6A"/>
    <w:rsid w:val="00CA1BC7"/>
    <w:rsid w:val="00CA279F"/>
    <w:rsid w:val="00CA27B7"/>
    <w:rsid w:val="00CA2CCA"/>
    <w:rsid w:val="00CA2D8E"/>
    <w:rsid w:val="00CA2F54"/>
    <w:rsid w:val="00CA3418"/>
    <w:rsid w:val="00CA3477"/>
    <w:rsid w:val="00CA38BE"/>
    <w:rsid w:val="00CA3D41"/>
    <w:rsid w:val="00CA3E85"/>
    <w:rsid w:val="00CA3F18"/>
    <w:rsid w:val="00CA42BE"/>
    <w:rsid w:val="00CA4300"/>
    <w:rsid w:val="00CA44DA"/>
    <w:rsid w:val="00CA45D4"/>
    <w:rsid w:val="00CA4A20"/>
    <w:rsid w:val="00CA4C49"/>
    <w:rsid w:val="00CA4C65"/>
    <w:rsid w:val="00CA52AD"/>
    <w:rsid w:val="00CA5489"/>
    <w:rsid w:val="00CA5676"/>
    <w:rsid w:val="00CA5845"/>
    <w:rsid w:val="00CA664C"/>
    <w:rsid w:val="00CA6CE3"/>
    <w:rsid w:val="00CA722D"/>
    <w:rsid w:val="00CA743A"/>
    <w:rsid w:val="00CA7B99"/>
    <w:rsid w:val="00CA7DE8"/>
    <w:rsid w:val="00CB0147"/>
    <w:rsid w:val="00CB02FE"/>
    <w:rsid w:val="00CB0519"/>
    <w:rsid w:val="00CB0776"/>
    <w:rsid w:val="00CB0B7D"/>
    <w:rsid w:val="00CB1418"/>
    <w:rsid w:val="00CB1F9C"/>
    <w:rsid w:val="00CB219F"/>
    <w:rsid w:val="00CB227A"/>
    <w:rsid w:val="00CB2287"/>
    <w:rsid w:val="00CB291E"/>
    <w:rsid w:val="00CB2F18"/>
    <w:rsid w:val="00CB31FA"/>
    <w:rsid w:val="00CB3394"/>
    <w:rsid w:val="00CB34F5"/>
    <w:rsid w:val="00CB3A47"/>
    <w:rsid w:val="00CB3B1E"/>
    <w:rsid w:val="00CB3DF8"/>
    <w:rsid w:val="00CB3F48"/>
    <w:rsid w:val="00CB41FD"/>
    <w:rsid w:val="00CB49BA"/>
    <w:rsid w:val="00CB4AD2"/>
    <w:rsid w:val="00CB4B84"/>
    <w:rsid w:val="00CB4E10"/>
    <w:rsid w:val="00CB4E79"/>
    <w:rsid w:val="00CB5071"/>
    <w:rsid w:val="00CB5558"/>
    <w:rsid w:val="00CB608C"/>
    <w:rsid w:val="00CB6146"/>
    <w:rsid w:val="00CB61B8"/>
    <w:rsid w:val="00CB6244"/>
    <w:rsid w:val="00CB632D"/>
    <w:rsid w:val="00CB63FF"/>
    <w:rsid w:val="00CB6CAD"/>
    <w:rsid w:val="00CB6CD8"/>
    <w:rsid w:val="00CB6DBB"/>
    <w:rsid w:val="00CB706A"/>
    <w:rsid w:val="00CB70FB"/>
    <w:rsid w:val="00CB71F6"/>
    <w:rsid w:val="00CB721C"/>
    <w:rsid w:val="00CB757C"/>
    <w:rsid w:val="00CB7639"/>
    <w:rsid w:val="00CB79EB"/>
    <w:rsid w:val="00CB7A7F"/>
    <w:rsid w:val="00CC0609"/>
    <w:rsid w:val="00CC093E"/>
    <w:rsid w:val="00CC0C3D"/>
    <w:rsid w:val="00CC0FDF"/>
    <w:rsid w:val="00CC1186"/>
    <w:rsid w:val="00CC14BE"/>
    <w:rsid w:val="00CC1521"/>
    <w:rsid w:val="00CC181D"/>
    <w:rsid w:val="00CC1C91"/>
    <w:rsid w:val="00CC1FF1"/>
    <w:rsid w:val="00CC2017"/>
    <w:rsid w:val="00CC2741"/>
    <w:rsid w:val="00CC2834"/>
    <w:rsid w:val="00CC2974"/>
    <w:rsid w:val="00CC2CA2"/>
    <w:rsid w:val="00CC3252"/>
    <w:rsid w:val="00CC3393"/>
    <w:rsid w:val="00CC33E5"/>
    <w:rsid w:val="00CC352B"/>
    <w:rsid w:val="00CC380D"/>
    <w:rsid w:val="00CC3A49"/>
    <w:rsid w:val="00CC3C53"/>
    <w:rsid w:val="00CC3DDA"/>
    <w:rsid w:val="00CC414F"/>
    <w:rsid w:val="00CC4C2F"/>
    <w:rsid w:val="00CC4D6B"/>
    <w:rsid w:val="00CC4EC6"/>
    <w:rsid w:val="00CC546E"/>
    <w:rsid w:val="00CC56DB"/>
    <w:rsid w:val="00CC5BEC"/>
    <w:rsid w:val="00CC5E11"/>
    <w:rsid w:val="00CC5FF9"/>
    <w:rsid w:val="00CC6394"/>
    <w:rsid w:val="00CC6CFE"/>
    <w:rsid w:val="00CC6E91"/>
    <w:rsid w:val="00CC70AA"/>
    <w:rsid w:val="00CC74D8"/>
    <w:rsid w:val="00CC76AD"/>
    <w:rsid w:val="00CC77B0"/>
    <w:rsid w:val="00CC786D"/>
    <w:rsid w:val="00CC7A44"/>
    <w:rsid w:val="00CC7B40"/>
    <w:rsid w:val="00CD0063"/>
    <w:rsid w:val="00CD0158"/>
    <w:rsid w:val="00CD05FE"/>
    <w:rsid w:val="00CD068E"/>
    <w:rsid w:val="00CD0890"/>
    <w:rsid w:val="00CD0C2C"/>
    <w:rsid w:val="00CD0EE4"/>
    <w:rsid w:val="00CD0F54"/>
    <w:rsid w:val="00CD12A4"/>
    <w:rsid w:val="00CD1356"/>
    <w:rsid w:val="00CD15D1"/>
    <w:rsid w:val="00CD16CB"/>
    <w:rsid w:val="00CD1803"/>
    <w:rsid w:val="00CD1DFC"/>
    <w:rsid w:val="00CD1EB0"/>
    <w:rsid w:val="00CD20C4"/>
    <w:rsid w:val="00CD227A"/>
    <w:rsid w:val="00CD2395"/>
    <w:rsid w:val="00CD248F"/>
    <w:rsid w:val="00CD26A8"/>
    <w:rsid w:val="00CD2CB4"/>
    <w:rsid w:val="00CD2D13"/>
    <w:rsid w:val="00CD351C"/>
    <w:rsid w:val="00CD3B40"/>
    <w:rsid w:val="00CD3D2B"/>
    <w:rsid w:val="00CD3E32"/>
    <w:rsid w:val="00CD457F"/>
    <w:rsid w:val="00CD4760"/>
    <w:rsid w:val="00CD4AF5"/>
    <w:rsid w:val="00CD4C86"/>
    <w:rsid w:val="00CD4FE1"/>
    <w:rsid w:val="00CD6261"/>
    <w:rsid w:val="00CD62D2"/>
    <w:rsid w:val="00CD692C"/>
    <w:rsid w:val="00CD6F74"/>
    <w:rsid w:val="00CD6F81"/>
    <w:rsid w:val="00CD7325"/>
    <w:rsid w:val="00CD735E"/>
    <w:rsid w:val="00CD7585"/>
    <w:rsid w:val="00CD78EA"/>
    <w:rsid w:val="00CD7AEE"/>
    <w:rsid w:val="00CD7C9A"/>
    <w:rsid w:val="00CE01F6"/>
    <w:rsid w:val="00CE041D"/>
    <w:rsid w:val="00CE08A9"/>
    <w:rsid w:val="00CE0941"/>
    <w:rsid w:val="00CE0C1E"/>
    <w:rsid w:val="00CE1222"/>
    <w:rsid w:val="00CE1472"/>
    <w:rsid w:val="00CE168B"/>
    <w:rsid w:val="00CE177C"/>
    <w:rsid w:val="00CE17B9"/>
    <w:rsid w:val="00CE1BCC"/>
    <w:rsid w:val="00CE1BD1"/>
    <w:rsid w:val="00CE1E9D"/>
    <w:rsid w:val="00CE2B47"/>
    <w:rsid w:val="00CE2DF2"/>
    <w:rsid w:val="00CE3163"/>
    <w:rsid w:val="00CE35ED"/>
    <w:rsid w:val="00CE370A"/>
    <w:rsid w:val="00CE3A55"/>
    <w:rsid w:val="00CE3DC4"/>
    <w:rsid w:val="00CE409F"/>
    <w:rsid w:val="00CE44D2"/>
    <w:rsid w:val="00CE4813"/>
    <w:rsid w:val="00CE4A00"/>
    <w:rsid w:val="00CE4CC4"/>
    <w:rsid w:val="00CE51F4"/>
    <w:rsid w:val="00CE52CC"/>
    <w:rsid w:val="00CE5362"/>
    <w:rsid w:val="00CE597F"/>
    <w:rsid w:val="00CE5AED"/>
    <w:rsid w:val="00CE5BB0"/>
    <w:rsid w:val="00CE5C8A"/>
    <w:rsid w:val="00CE5F7E"/>
    <w:rsid w:val="00CE6384"/>
    <w:rsid w:val="00CE6551"/>
    <w:rsid w:val="00CE65CE"/>
    <w:rsid w:val="00CE6742"/>
    <w:rsid w:val="00CE684A"/>
    <w:rsid w:val="00CE69FC"/>
    <w:rsid w:val="00CE6D58"/>
    <w:rsid w:val="00CE733E"/>
    <w:rsid w:val="00CE7491"/>
    <w:rsid w:val="00CE79B1"/>
    <w:rsid w:val="00CF006E"/>
    <w:rsid w:val="00CF0D64"/>
    <w:rsid w:val="00CF0FDA"/>
    <w:rsid w:val="00CF13ED"/>
    <w:rsid w:val="00CF16EB"/>
    <w:rsid w:val="00CF17C2"/>
    <w:rsid w:val="00CF1822"/>
    <w:rsid w:val="00CF1EAF"/>
    <w:rsid w:val="00CF239A"/>
    <w:rsid w:val="00CF2431"/>
    <w:rsid w:val="00CF2676"/>
    <w:rsid w:val="00CF2747"/>
    <w:rsid w:val="00CF2C1F"/>
    <w:rsid w:val="00CF2F8B"/>
    <w:rsid w:val="00CF3128"/>
    <w:rsid w:val="00CF3657"/>
    <w:rsid w:val="00CF3F41"/>
    <w:rsid w:val="00CF421C"/>
    <w:rsid w:val="00CF4237"/>
    <w:rsid w:val="00CF4265"/>
    <w:rsid w:val="00CF4499"/>
    <w:rsid w:val="00CF494D"/>
    <w:rsid w:val="00CF49DF"/>
    <w:rsid w:val="00CF4A62"/>
    <w:rsid w:val="00CF55D3"/>
    <w:rsid w:val="00CF57B0"/>
    <w:rsid w:val="00CF583E"/>
    <w:rsid w:val="00CF6076"/>
    <w:rsid w:val="00CF6441"/>
    <w:rsid w:val="00CF67A2"/>
    <w:rsid w:val="00CF69CA"/>
    <w:rsid w:val="00CF705A"/>
    <w:rsid w:val="00CF71CC"/>
    <w:rsid w:val="00CF7369"/>
    <w:rsid w:val="00CF74D7"/>
    <w:rsid w:val="00CF76BE"/>
    <w:rsid w:val="00CF7706"/>
    <w:rsid w:val="00CF7995"/>
    <w:rsid w:val="00CF7C4A"/>
    <w:rsid w:val="00D00085"/>
    <w:rsid w:val="00D005B2"/>
    <w:rsid w:val="00D00AF9"/>
    <w:rsid w:val="00D00B87"/>
    <w:rsid w:val="00D00BAE"/>
    <w:rsid w:val="00D00C8B"/>
    <w:rsid w:val="00D01085"/>
    <w:rsid w:val="00D01128"/>
    <w:rsid w:val="00D0181A"/>
    <w:rsid w:val="00D018BC"/>
    <w:rsid w:val="00D0190B"/>
    <w:rsid w:val="00D01A63"/>
    <w:rsid w:val="00D01B7F"/>
    <w:rsid w:val="00D01DE2"/>
    <w:rsid w:val="00D02141"/>
    <w:rsid w:val="00D0217A"/>
    <w:rsid w:val="00D02817"/>
    <w:rsid w:val="00D02937"/>
    <w:rsid w:val="00D02C97"/>
    <w:rsid w:val="00D02D06"/>
    <w:rsid w:val="00D0315E"/>
    <w:rsid w:val="00D033AC"/>
    <w:rsid w:val="00D033DD"/>
    <w:rsid w:val="00D0349E"/>
    <w:rsid w:val="00D03E2C"/>
    <w:rsid w:val="00D03EC8"/>
    <w:rsid w:val="00D04132"/>
    <w:rsid w:val="00D041BF"/>
    <w:rsid w:val="00D049DB"/>
    <w:rsid w:val="00D04EAA"/>
    <w:rsid w:val="00D05049"/>
    <w:rsid w:val="00D051CF"/>
    <w:rsid w:val="00D05311"/>
    <w:rsid w:val="00D05534"/>
    <w:rsid w:val="00D05979"/>
    <w:rsid w:val="00D05A89"/>
    <w:rsid w:val="00D05DAC"/>
    <w:rsid w:val="00D0619A"/>
    <w:rsid w:val="00D0690C"/>
    <w:rsid w:val="00D06BCC"/>
    <w:rsid w:val="00D06D4E"/>
    <w:rsid w:val="00D06F21"/>
    <w:rsid w:val="00D0704B"/>
    <w:rsid w:val="00D0716B"/>
    <w:rsid w:val="00D076D8"/>
    <w:rsid w:val="00D077C2"/>
    <w:rsid w:val="00D07B6A"/>
    <w:rsid w:val="00D07C54"/>
    <w:rsid w:val="00D100FD"/>
    <w:rsid w:val="00D103CB"/>
    <w:rsid w:val="00D10529"/>
    <w:rsid w:val="00D10561"/>
    <w:rsid w:val="00D109FB"/>
    <w:rsid w:val="00D10A24"/>
    <w:rsid w:val="00D10A95"/>
    <w:rsid w:val="00D10D01"/>
    <w:rsid w:val="00D10EC0"/>
    <w:rsid w:val="00D10FED"/>
    <w:rsid w:val="00D11056"/>
    <w:rsid w:val="00D11079"/>
    <w:rsid w:val="00D1133A"/>
    <w:rsid w:val="00D11350"/>
    <w:rsid w:val="00D11592"/>
    <w:rsid w:val="00D119EE"/>
    <w:rsid w:val="00D11E33"/>
    <w:rsid w:val="00D12254"/>
    <w:rsid w:val="00D12640"/>
    <w:rsid w:val="00D1264F"/>
    <w:rsid w:val="00D12904"/>
    <w:rsid w:val="00D12A17"/>
    <w:rsid w:val="00D12C22"/>
    <w:rsid w:val="00D12CB0"/>
    <w:rsid w:val="00D13068"/>
    <w:rsid w:val="00D131C5"/>
    <w:rsid w:val="00D134F1"/>
    <w:rsid w:val="00D13634"/>
    <w:rsid w:val="00D13689"/>
    <w:rsid w:val="00D137F5"/>
    <w:rsid w:val="00D13AC3"/>
    <w:rsid w:val="00D13B62"/>
    <w:rsid w:val="00D13FB9"/>
    <w:rsid w:val="00D14252"/>
    <w:rsid w:val="00D143D7"/>
    <w:rsid w:val="00D147A4"/>
    <w:rsid w:val="00D147AD"/>
    <w:rsid w:val="00D149A4"/>
    <w:rsid w:val="00D14A26"/>
    <w:rsid w:val="00D15319"/>
    <w:rsid w:val="00D154DB"/>
    <w:rsid w:val="00D1596C"/>
    <w:rsid w:val="00D159B5"/>
    <w:rsid w:val="00D15BC2"/>
    <w:rsid w:val="00D15D1B"/>
    <w:rsid w:val="00D1646D"/>
    <w:rsid w:val="00D16708"/>
    <w:rsid w:val="00D168DF"/>
    <w:rsid w:val="00D1696F"/>
    <w:rsid w:val="00D172AE"/>
    <w:rsid w:val="00D17821"/>
    <w:rsid w:val="00D1787A"/>
    <w:rsid w:val="00D17A04"/>
    <w:rsid w:val="00D17C86"/>
    <w:rsid w:val="00D17F48"/>
    <w:rsid w:val="00D20160"/>
    <w:rsid w:val="00D20246"/>
    <w:rsid w:val="00D204C2"/>
    <w:rsid w:val="00D20573"/>
    <w:rsid w:val="00D20783"/>
    <w:rsid w:val="00D209EC"/>
    <w:rsid w:val="00D20A47"/>
    <w:rsid w:val="00D20C45"/>
    <w:rsid w:val="00D20ED6"/>
    <w:rsid w:val="00D21240"/>
    <w:rsid w:val="00D215AB"/>
    <w:rsid w:val="00D217A6"/>
    <w:rsid w:val="00D21BF1"/>
    <w:rsid w:val="00D21C0A"/>
    <w:rsid w:val="00D21CBE"/>
    <w:rsid w:val="00D21EAC"/>
    <w:rsid w:val="00D223AF"/>
    <w:rsid w:val="00D2262A"/>
    <w:rsid w:val="00D2296D"/>
    <w:rsid w:val="00D22B24"/>
    <w:rsid w:val="00D2329B"/>
    <w:rsid w:val="00D234CF"/>
    <w:rsid w:val="00D23622"/>
    <w:rsid w:val="00D23716"/>
    <w:rsid w:val="00D2379A"/>
    <w:rsid w:val="00D2388C"/>
    <w:rsid w:val="00D23B33"/>
    <w:rsid w:val="00D23C12"/>
    <w:rsid w:val="00D2489F"/>
    <w:rsid w:val="00D24FDC"/>
    <w:rsid w:val="00D2545A"/>
    <w:rsid w:val="00D2569E"/>
    <w:rsid w:val="00D25A03"/>
    <w:rsid w:val="00D25B5E"/>
    <w:rsid w:val="00D25E7F"/>
    <w:rsid w:val="00D2641F"/>
    <w:rsid w:val="00D26E30"/>
    <w:rsid w:val="00D27C7A"/>
    <w:rsid w:val="00D27E07"/>
    <w:rsid w:val="00D30136"/>
    <w:rsid w:val="00D302A9"/>
    <w:rsid w:val="00D30384"/>
    <w:rsid w:val="00D303DD"/>
    <w:rsid w:val="00D304EE"/>
    <w:rsid w:val="00D305B1"/>
    <w:rsid w:val="00D306C6"/>
    <w:rsid w:val="00D307BB"/>
    <w:rsid w:val="00D30A22"/>
    <w:rsid w:val="00D30B18"/>
    <w:rsid w:val="00D30C6A"/>
    <w:rsid w:val="00D30C9A"/>
    <w:rsid w:val="00D31554"/>
    <w:rsid w:val="00D32480"/>
    <w:rsid w:val="00D32A62"/>
    <w:rsid w:val="00D32C09"/>
    <w:rsid w:val="00D33040"/>
    <w:rsid w:val="00D334E2"/>
    <w:rsid w:val="00D335A3"/>
    <w:rsid w:val="00D33839"/>
    <w:rsid w:val="00D33919"/>
    <w:rsid w:val="00D33E90"/>
    <w:rsid w:val="00D3445E"/>
    <w:rsid w:val="00D34466"/>
    <w:rsid w:val="00D346EC"/>
    <w:rsid w:val="00D34D0C"/>
    <w:rsid w:val="00D34D7A"/>
    <w:rsid w:val="00D350BC"/>
    <w:rsid w:val="00D350EA"/>
    <w:rsid w:val="00D351AD"/>
    <w:rsid w:val="00D35228"/>
    <w:rsid w:val="00D35403"/>
    <w:rsid w:val="00D356DA"/>
    <w:rsid w:val="00D35C0A"/>
    <w:rsid w:val="00D35C66"/>
    <w:rsid w:val="00D36119"/>
    <w:rsid w:val="00D36527"/>
    <w:rsid w:val="00D36557"/>
    <w:rsid w:val="00D36640"/>
    <w:rsid w:val="00D3669F"/>
    <w:rsid w:val="00D36A83"/>
    <w:rsid w:val="00D36B11"/>
    <w:rsid w:val="00D36CC3"/>
    <w:rsid w:val="00D37225"/>
    <w:rsid w:val="00D37B89"/>
    <w:rsid w:val="00D37D20"/>
    <w:rsid w:val="00D37D60"/>
    <w:rsid w:val="00D37E60"/>
    <w:rsid w:val="00D37F11"/>
    <w:rsid w:val="00D406E3"/>
    <w:rsid w:val="00D409AF"/>
    <w:rsid w:val="00D40C7D"/>
    <w:rsid w:val="00D40FF8"/>
    <w:rsid w:val="00D41069"/>
    <w:rsid w:val="00D412B7"/>
    <w:rsid w:val="00D4160D"/>
    <w:rsid w:val="00D4175B"/>
    <w:rsid w:val="00D417F0"/>
    <w:rsid w:val="00D41987"/>
    <w:rsid w:val="00D41AF4"/>
    <w:rsid w:val="00D41B68"/>
    <w:rsid w:val="00D41D39"/>
    <w:rsid w:val="00D41DCF"/>
    <w:rsid w:val="00D41F6A"/>
    <w:rsid w:val="00D42219"/>
    <w:rsid w:val="00D42C9B"/>
    <w:rsid w:val="00D42E83"/>
    <w:rsid w:val="00D42FA8"/>
    <w:rsid w:val="00D4390A"/>
    <w:rsid w:val="00D4395E"/>
    <w:rsid w:val="00D43BC2"/>
    <w:rsid w:val="00D44222"/>
    <w:rsid w:val="00D44430"/>
    <w:rsid w:val="00D44618"/>
    <w:rsid w:val="00D44800"/>
    <w:rsid w:val="00D4482A"/>
    <w:rsid w:val="00D44B1D"/>
    <w:rsid w:val="00D44C09"/>
    <w:rsid w:val="00D44C71"/>
    <w:rsid w:val="00D44DE4"/>
    <w:rsid w:val="00D44FCD"/>
    <w:rsid w:val="00D4503D"/>
    <w:rsid w:val="00D4566E"/>
    <w:rsid w:val="00D4569E"/>
    <w:rsid w:val="00D456C0"/>
    <w:rsid w:val="00D4584A"/>
    <w:rsid w:val="00D46348"/>
    <w:rsid w:val="00D4635C"/>
    <w:rsid w:val="00D467C7"/>
    <w:rsid w:val="00D467FC"/>
    <w:rsid w:val="00D46BD1"/>
    <w:rsid w:val="00D46E34"/>
    <w:rsid w:val="00D4732C"/>
    <w:rsid w:val="00D47342"/>
    <w:rsid w:val="00D47A1E"/>
    <w:rsid w:val="00D47A97"/>
    <w:rsid w:val="00D47DE9"/>
    <w:rsid w:val="00D50008"/>
    <w:rsid w:val="00D5025E"/>
    <w:rsid w:val="00D502C0"/>
    <w:rsid w:val="00D50321"/>
    <w:rsid w:val="00D50429"/>
    <w:rsid w:val="00D506AE"/>
    <w:rsid w:val="00D509B8"/>
    <w:rsid w:val="00D513AE"/>
    <w:rsid w:val="00D519A4"/>
    <w:rsid w:val="00D51D80"/>
    <w:rsid w:val="00D52536"/>
    <w:rsid w:val="00D5275B"/>
    <w:rsid w:val="00D527F1"/>
    <w:rsid w:val="00D52B90"/>
    <w:rsid w:val="00D53060"/>
    <w:rsid w:val="00D5321E"/>
    <w:rsid w:val="00D53245"/>
    <w:rsid w:val="00D535AA"/>
    <w:rsid w:val="00D53C14"/>
    <w:rsid w:val="00D53C3C"/>
    <w:rsid w:val="00D53C6B"/>
    <w:rsid w:val="00D53D8B"/>
    <w:rsid w:val="00D5443C"/>
    <w:rsid w:val="00D5444D"/>
    <w:rsid w:val="00D54B02"/>
    <w:rsid w:val="00D54DEE"/>
    <w:rsid w:val="00D55112"/>
    <w:rsid w:val="00D55201"/>
    <w:rsid w:val="00D55452"/>
    <w:rsid w:val="00D55D6A"/>
    <w:rsid w:val="00D562BB"/>
    <w:rsid w:val="00D56548"/>
    <w:rsid w:val="00D565F8"/>
    <w:rsid w:val="00D57759"/>
    <w:rsid w:val="00D579C5"/>
    <w:rsid w:val="00D57D2F"/>
    <w:rsid w:val="00D60507"/>
    <w:rsid w:val="00D6058D"/>
    <w:rsid w:val="00D6059B"/>
    <w:rsid w:val="00D60734"/>
    <w:rsid w:val="00D607C6"/>
    <w:rsid w:val="00D60D5B"/>
    <w:rsid w:val="00D610F2"/>
    <w:rsid w:val="00D611F8"/>
    <w:rsid w:val="00D61563"/>
    <w:rsid w:val="00D61681"/>
    <w:rsid w:val="00D6179B"/>
    <w:rsid w:val="00D61AE2"/>
    <w:rsid w:val="00D61D6C"/>
    <w:rsid w:val="00D621CF"/>
    <w:rsid w:val="00D62518"/>
    <w:rsid w:val="00D628DA"/>
    <w:rsid w:val="00D62938"/>
    <w:rsid w:val="00D631F1"/>
    <w:rsid w:val="00D632C7"/>
    <w:rsid w:val="00D63541"/>
    <w:rsid w:val="00D6371C"/>
    <w:rsid w:val="00D637D1"/>
    <w:rsid w:val="00D637E5"/>
    <w:rsid w:val="00D637FB"/>
    <w:rsid w:val="00D6386D"/>
    <w:rsid w:val="00D63989"/>
    <w:rsid w:val="00D639C8"/>
    <w:rsid w:val="00D63C1A"/>
    <w:rsid w:val="00D641CC"/>
    <w:rsid w:val="00D641EB"/>
    <w:rsid w:val="00D64318"/>
    <w:rsid w:val="00D64453"/>
    <w:rsid w:val="00D6454A"/>
    <w:rsid w:val="00D64658"/>
    <w:rsid w:val="00D6483A"/>
    <w:rsid w:val="00D64B16"/>
    <w:rsid w:val="00D64EA0"/>
    <w:rsid w:val="00D65130"/>
    <w:rsid w:val="00D65262"/>
    <w:rsid w:val="00D65431"/>
    <w:rsid w:val="00D65857"/>
    <w:rsid w:val="00D658F2"/>
    <w:rsid w:val="00D6593B"/>
    <w:rsid w:val="00D65AE5"/>
    <w:rsid w:val="00D65FE1"/>
    <w:rsid w:val="00D66042"/>
    <w:rsid w:val="00D66064"/>
    <w:rsid w:val="00D6647D"/>
    <w:rsid w:val="00D66637"/>
    <w:rsid w:val="00D6675B"/>
    <w:rsid w:val="00D66A9A"/>
    <w:rsid w:val="00D67030"/>
    <w:rsid w:val="00D67148"/>
    <w:rsid w:val="00D671FA"/>
    <w:rsid w:val="00D67962"/>
    <w:rsid w:val="00D67FFB"/>
    <w:rsid w:val="00D701F8"/>
    <w:rsid w:val="00D703EA"/>
    <w:rsid w:val="00D70423"/>
    <w:rsid w:val="00D704B3"/>
    <w:rsid w:val="00D70A46"/>
    <w:rsid w:val="00D7103A"/>
    <w:rsid w:val="00D713FE"/>
    <w:rsid w:val="00D714D9"/>
    <w:rsid w:val="00D718AC"/>
    <w:rsid w:val="00D71A89"/>
    <w:rsid w:val="00D71C31"/>
    <w:rsid w:val="00D7228B"/>
    <w:rsid w:val="00D723FE"/>
    <w:rsid w:val="00D72425"/>
    <w:rsid w:val="00D72597"/>
    <w:rsid w:val="00D72A88"/>
    <w:rsid w:val="00D72B53"/>
    <w:rsid w:val="00D72C9A"/>
    <w:rsid w:val="00D7342E"/>
    <w:rsid w:val="00D73569"/>
    <w:rsid w:val="00D73918"/>
    <w:rsid w:val="00D73989"/>
    <w:rsid w:val="00D73A43"/>
    <w:rsid w:val="00D73ABC"/>
    <w:rsid w:val="00D73B42"/>
    <w:rsid w:val="00D73D96"/>
    <w:rsid w:val="00D73EA2"/>
    <w:rsid w:val="00D74582"/>
    <w:rsid w:val="00D74C16"/>
    <w:rsid w:val="00D74CDC"/>
    <w:rsid w:val="00D74F85"/>
    <w:rsid w:val="00D750CD"/>
    <w:rsid w:val="00D7518F"/>
    <w:rsid w:val="00D7542C"/>
    <w:rsid w:val="00D75634"/>
    <w:rsid w:val="00D75696"/>
    <w:rsid w:val="00D7585A"/>
    <w:rsid w:val="00D758F6"/>
    <w:rsid w:val="00D75AA8"/>
    <w:rsid w:val="00D7659C"/>
    <w:rsid w:val="00D765BD"/>
    <w:rsid w:val="00D76697"/>
    <w:rsid w:val="00D767A9"/>
    <w:rsid w:val="00D76BA6"/>
    <w:rsid w:val="00D76DF9"/>
    <w:rsid w:val="00D76F66"/>
    <w:rsid w:val="00D770CF"/>
    <w:rsid w:val="00D7777F"/>
    <w:rsid w:val="00D77AC9"/>
    <w:rsid w:val="00D8013C"/>
    <w:rsid w:val="00D8018B"/>
    <w:rsid w:val="00D802E2"/>
    <w:rsid w:val="00D8040E"/>
    <w:rsid w:val="00D805F6"/>
    <w:rsid w:val="00D80B14"/>
    <w:rsid w:val="00D80BB5"/>
    <w:rsid w:val="00D80D02"/>
    <w:rsid w:val="00D80E80"/>
    <w:rsid w:val="00D80F18"/>
    <w:rsid w:val="00D816A2"/>
    <w:rsid w:val="00D817BC"/>
    <w:rsid w:val="00D8182C"/>
    <w:rsid w:val="00D81848"/>
    <w:rsid w:val="00D81C12"/>
    <w:rsid w:val="00D81D0B"/>
    <w:rsid w:val="00D8203B"/>
    <w:rsid w:val="00D82356"/>
    <w:rsid w:val="00D824F2"/>
    <w:rsid w:val="00D829AC"/>
    <w:rsid w:val="00D82C44"/>
    <w:rsid w:val="00D82E32"/>
    <w:rsid w:val="00D82F33"/>
    <w:rsid w:val="00D830D3"/>
    <w:rsid w:val="00D831AC"/>
    <w:rsid w:val="00D83220"/>
    <w:rsid w:val="00D83961"/>
    <w:rsid w:val="00D840F1"/>
    <w:rsid w:val="00D84381"/>
    <w:rsid w:val="00D844B3"/>
    <w:rsid w:val="00D84582"/>
    <w:rsid w:val="00D84635"/>
    <w:rsid w:val="00D8467C"/>
    <w:rsid w:val="00D8474A"/>
    <w:rsid w:val="00D84B72"/>
    <w:rsid w:val="00D84ED2"/>
    <w:rsid w:val="00D84F75"/>
    <w:rsid w:val="00D84FFD"/>
    <w:rsid w:val="00D8513E"/>
    <w:rsid w:val="00D85413"/>
    <w:rsid w:val="00D854C4"/>
    <w:rsid w:val="00D859A3"/>
    <w:rsid w:val="00D85AE6"/>
    <w:rsid w:val="00D85AF8"/>
    <w:rsid w:val="00D85AF9"/>
    <w:rsid w:val="00D863BE"/>
    <w:rsid w:val="00D86981"/>
    <w:rsid w:val="00D869BC"/>
    <w:rsid w:val="00D86B1A"/>
    <w:rsid w:val="00D86B3E"/>
    <w:rsid w:val="00D8726A"/>
    <w:rsid w:val="00D87511"/>
    <w:rsid w:val="00D87A01"/>
    <w:rsid w:val="00D87A7F"/>
    <w:rsid w:val="00D87E84"/>
    <w:rsid w:val="00D9034A"/>
    <w:rsid w:val="00D90BC2"/>
    <w:rsid w:val="00D90C10"/>
    <w:rsid w:val="00D90CB1"/>
    <w:rsid w:val="00D90D82"/>
    <w:rsid w:val="00D90F7A"/>
    <w:rsid w:val="00D91038"/>
    <w:rsid w:val="00D91072"/>
    <w:rsid w:val="00D910A5"/>
    <w:rsid w:val="00D9145B"/>
    <w:rsid w:val="00D915DF"/>
    <w:rsid w:val="00D91774"/>
    <w:rsid w:val="00D917F9"/>
    <w:rsid w:val="00D919C7"/>
    <w:rsid w:val="00D91AC5"/>
    <w:rsid w:val="00D91B26"/>
    <w:rsid w:val="00D91DDF"/>
    <w:rsid w:val="00D92117"/>
    <w:rsid w:val="00D92E89"/>
    <w:rsid w:val="00D92ECA"/>
    <w:rsid w:val="00D93015"/>
    <w:rsid w:val="00D93487"/>
    <w:rsid w:val="00D93B19"/>
    <w:rsid w:val="00D93CC5"/>
    <w:rsid w:val="00D93DFB"/>
    <w:rsid w:val="00D943E4"/>
    <w:rsid w:val="00D94A28"/>
    <w:rsid w:val="00D94AAF"/>
    <w:rsid w:val="00D94BA7"/>
    <w:rsid w:val="00D94D6C"/>
    <w:rsid w:val="00D94E1F"/>
    <w:rsid w:val="00D95188"/>
    <w:rsid w:val="00D951DD"/>
    <w:rsid w:val="00D95A80"/>
    <w:rsid w:val="00D95D26"/>
    <w:rsid w:val="00D95D9C"/>
    <w:rsid w:val="00D96081"/>
    <w:rsid w:val="00D9625B"/>
    <w:rsid w:val="00D963CA"/>
    <w:rsid w:val="00D96673"/>
    <w:rsid w:val="00D96A6C"/>
    <w:rsid w:val="00D96BD1"/>
    <w:rsid w:val="00D97274"/>
    <w:rsid w:val="00D97491"/>
    <w:rsid w:val="00D976E2"/>
    <w:rsid w:val="00D97787"/>
    <w:rsid w:val="00D9787C"/>
    <w:rsid w:val="00D97B0C"/>
    <w:rsid w:val="00D97C5D"/>
    <w:rsid w:val="00D97F3B"/>
    <w:rsid w:val="00D97F54"/>
    <w:rsid w:val="00DA00CF"/>
    <w:rsid w:val="00DA0202"/>
    <w:rsid w:val="00DA02FE"/>
    <w:rsid w:val="00DA045D"/>
    <w:rsid w:val="00DA0885"/>
    <w:rsid w:val="00DA0A04"/>
    <w:rsid w:val="00DA0B68"/>
    <w:rsid w:val="00DA0B7F"/>
    <w:rsid w:val="00DA14E1"/>
    <w:rsid w:val="00DA1A65"/>
    <w:rsid w:val="00DA1B00"/>
    <w:rsid w:val="00DA1B7A"/>
    <w:rsid w:val="00DA1BD2"/>
    <w:rsid w:val="00DA1F82"/>
    <w:rsid w:val="00DA20AD"/>
    <w:rsid w:val="00DA20BD"/>
    <w:rsid w:val="00DA238A"/>
    <w:rsid w:val="00DA259C"/>
    <w:rsid w:val="00DA2E98"/>
    <w:rsid w:val="00DA33D7"/>
    <w:rsid w:val="00DA359B"/>
    <w:rsid w:val="00DA3847"/>
    <w:rsid w:val="00DA3AD4"/>
    <w:rsid w:val="00DA3C5D"/>
    <w:rsid w:val="00DA3DBD"/>
    <w:rsid w:val="00DA3E21"/>
    <w:rsid w:val="00DA4519"/>
    <w:rsid w:val="00DA47A9"/>
    <w:rsid w:val="00DA4A8D"/>
    <w:rsid w:val="00DA4E12"/>
    <w:rsid w:val="00DA52AE"/>
    <w:rsid w:val="00DA53F0"/>
    <w:rsid w:val="00DA5442"/>
    <w:rsid w:val="00DA5670"/>
    <w:rsid w:val="00DA5732"/>
    <w:rsid w:val="00DA5E2B"/>
    <w:rsid w:val="00DA5FD0"/>
    <w:rsid w:val="00DA67B7"/>
    <w:rsid w:val="00DA694B"/>
    <w:rsid w:val="00DA6B2A"/>
    <w:rsid w:val="00DA6C39"/>
    <w:rsid w:val="00DA6D95"/>
    <w:rsid w:val="00DA71EF"/>
    <w:rsid w:val="00DA74FE"/>
    <w:rsid w:val="00DA7A4F"/>
    <w:rsid w:val="00DA7C27"/>
    <w:rsid w:val="00DB0166"/>
    <w:rsid w:val="00DB01D6"/>
    <w:rsid w:val="00DB0462"/>
    <w:rsid w:val="00DB074A"/>
    <w:rsid w:val="00DB0902"/>
    <w:rsid w:val="00DB0975"/>
    <w:rsid w:val="00DB0AB4"/>
    <w:rsid w:val="00DB1692"/>
    <w:rsid w:val="00DB1C39"/>
    <w:rsid w:val="00DB22BD"/>
    <w:rsid w:val="00DB236D"/>
    <w:rsid w:val="00DB245E"/>
    <w:rsid w:val="00DB29C4"/>
    <w:rsid w:val="00DB2E84"/>
    <w:rsid w:val="00DB2EA2"/>
    <w:rsid w:val="00DB3257"/>
    <w:rsid w:val="00DB3280"/>
    <w:rsid w:val="00DB34A6"/>
    <w:rsid w:val="00DB36C7"/>
    <w:rsid w:val="00DB3773"/>
    <w:rsid w:val="00DB3DB3"/>
    <w:rsid w:val="00DB3E77"/>
    <w:rsid w:val="00DB4445"/>
    <w:rsid w:val="00DB4884"/>
    <w:rsid w:val="00DB4EBC"/>
    <w:rsid w:val="00DB52E9"/>
    <w:rsid w:val="00DB559B"/>
    <w:rsid w:val="00DB57D8"/>
    <w:rsid w:val="00DB5909"/>
    <w:rsid w:val="00DB5A7E"/>
    <w:rsid w:val="00DB5C6A"/>
    <w:rsid w:val="00DB5EB8"/>
    <w:rsid w:val="00DB5EFF"/>
    <w:rsid w:val="00DB608F"/>
    <w:rsid w:val="00DB623B"/>
    <w:rsid w:val="00DB6445"/>
    <w:rsid w:val="00DB66C2"/>
    <w:rsid w:val="00DB67D2"/>
    <w:rsid w:val="00DB67E8"/>
    <w:rsid w:val="00DB6F21"/>
    <w:rsid w:val="00DB703C"/>
    <w:rsid w:val="00DB73BC"/>
    <w:rsid w:val="00DB77B5"/>
    <w:rsid w:val="00DB7877"/>
    <w:rsid w:val="00DB7902"/>
    <w:rsid w:val="00DB7B1C"/>
    <w:rsid w:val="00DB7F0B"/>
    <w:rsid w:val="00DC0016"/>
    <w:rsid w:val="00DC04D7"/>
    <w:rsid w:val="00DC05C5"/>
    <w:rsid w:val="00DC075E"/>
    <w:rsid w:val="00DC0865"/>
    <w:rsid w:val="00DC093F"/>
    <w:rsid w:val="00DC0DDB"/>
    <w:rsid w:val="00DC1067"/>
    <w:rsid w:val="00DC126F"/>
    <w:rsid w:val="00DC13DE"/>
    <w:rsid w:val="00DC1419"/>
    <w:rsid w:val="00DC16CF"/>
    <w:rsid w:val="00DC19B6"/>
    <w:rsid w:val="00DC1A9A"/>
    <w:rsid w:val="00DC1BC3"/>
    <w:rsid w:val="00DC20F3"/>
    <w:rsid w:val="00DC211F"/>
    <w:rsid w:val="00DC259E"/>
    <w:rsid w:val="00DC274E"/>
    <w:rsid w:val="00DC27E7"/>
    <w:rsid w:val="00DC2816"/>
    <w:rsid w:val="00DC31F2"/>
    <w:rsid w:val="00DC3300"/>
    <w:rsid w:val="00DC3569"/>
    <w:rsid w:val="00DC377D"/>
    <w:rsid w:val="00DC3AA6"/>
    <w:rsid w:val="00DC3BDF"/>
    <w:rsid w:val="00DC41A5"/>
    <w:rsid w:val="00DC4320"/>
    <w:rsid w:val="00DC449A"/>
    <w:rsid w:val="00DC460B"/>
    <w:rsid w:val="00DC4614"/>
    <w:rsid w:val="00DC4B14"/>
    <w:rsid w:val="00DC4B56"/>
    <w:rsid w:val="00DC4D25"/>
    <w:rsid w:val="00DC4DFF"/>
    <w:rsid w:val="00DC5080"/>
    <w:rsid w:val="00DC52AA"/>
    <w:rsid w:val="00DC5BE0"/>
    <w:rsid w:val="00DC5DF7"/>
    <w:rsid w:val="00DC5E16"/>
    <w:rsid w:val="00DC5F49"/>
    <w:rsid w:val="00DC5F8C"/>
    <w:rsid w:val="00DC65E4"/>
    <w:rsid w:val="00DC687B"/>
    <w:rsid w:val="00DC6E43"/>
    <w:rsid w:val="00DC6E5B"/>
    <w:rsid w:val="00DC6EBE"/>
    <w:rsid w:val="00DC6F5C"/>
    <w:rsid w:val="00DC6FB8"/>
    <w:rsid w:val="00DC727B"/>
    <w:rsid w:val="00DC752E"/>
    <w:rsid w:val="00DC7953"/>
    <w:rsid w:val="00DC7D6E"/>
    <w:rsid w:val="00DD0129"/>
    <w:rsid w:val="00DD028A"/>
    <w:rsid w:val="00DD0BDD"/>
    <w:rsid w:val="00DD0CA8"/>
    <w:rsid w:val="00DD1083"/>
    <w:rsid w:val="00DD10FD"/>
    <w:rsid w:val="00DD1779"/>
    <w:rsid w:val="00DD19F2"/>
    <w:rsid w:val="00DD1ACE"/>
    <w:rsid w:val="00DD1AD2"/>
    <w:rsid w:val="00DD1CDA"/>
    <w:rsid w:val="00DD1CF2"/>
    <w:rsid w:val="00DD1DDC"/>
    <w:rsid w:val="00DD1E1C"/>
    <w:rsid w:val="00DD2513"/>
    <w:rsid w:val="00DD2690"/>
    <w:rsid w:val="00DD2B95"/>
    <w:rsid w:val="00DD2D7F"/>
    <w:rsid w:val="00DD340C"/>
    <w:rsid w:val="00DD3500"/>
    <w:rsid w:val="00DD35E3"/>
    <w:rsid w:val="00DD3897"/>
    <w:rsid w:val="00DD3A42"/>
    <w:rsid w:val="00DD3B31"/>
    <w:rsid w:val="00DD41BE"/>
    <w:rsid w:val="00DD42D1"/>
    <w:rsid w:val="00DD443E"/>
    <w:rsid w:val="00DD44C8"/>
    <w:rsid w:val="00DD4D14"/>
    <w:rsid w:val="00DD54E4"/>
    <w:rsid w:val="00DD55AB"/>
    <w:rsid w:val="00DD5BA5"/>
    <w:rsid w:val="00DD61EB"/>
    <w:rsid w:val="00DD641E"/>
    <w:rsid w:val="00DD6874"/>
    <w:rsid w:val="00DD698A"/>
    <w:rsid w:val="00DD6E9A"/>
    <w:rsid w:val="00DD6F9C"/>
    <w:rsid w:val="00DD7392"/>
    <w:rsid w:val="00DD793E"/>
    <w:rsid w:val="00DD7950"/>
    <w:rsid w:val="00DD7CBF"/>
    <w:rsid w:val="00DD7F5A"/>
    <w:rsid w:val="00DE029B"/>
    <w:rsid w:val="00DE09D6"/>
    <w:rsid w:val="00DE0A10"/>
    <w:rsid w:val="00DE0BBA"/>
    <w:rsid w:val="00DE0EDD"/>
    <w:rsid w:val="00DE10B7"/>
    <w:rsid w:val="00DE1141"/>
    <w:rsid w:val="00DE13FD"/>
    <w:rsid w:val="00DE15B7"/>
    <w:rsid w:val="00DE16E6"/>
    <w:rsid w:val="00DE187B"/>
    <w:rsid w:val="00DE266F"/>
    <w:rsid w:val="00DE28C0"/>
    <w:rsid w:val="00DE2C93"/>
    <w:rsid w:val="00DE31F8"/>
    <w:rsid w:val="00DE326E"/>
    <w:rsid w:val="00DE3393"/>
    <w:rsid w:val="00DE34D7"/>
    <w:rsid w:val="00DE3CB5"/>
    <w:rsid w:val="00DE3CF5"/>
    <w:rsid w:val="00DE3D0D"/>
    <w:rsid w:val="00DE3F9C"/>
    <w:rsid w:val="00DE40CF"/>
    <w:rsid w:val="00DE4256"/>
    <w:rsid w:val="00DE4E4C"/>
    <w:rsid w:val="00DE5286"/>
    <w:rsid w:val="00DE5406"/>
    <w:rsid w:val="00DE566D"/>
    <w:rsid w:val="00DE5836"/>
    <w:rsid w:val="00DE590F"/>
    <w:rsid w:val="00DE5972"/>
    <w:rsid w:val="00DE5FC2"/>
    <w:rsid w:val="00DE620C"/>
    <w:rsid w:val="00DE6265"/>
    <w:rsid w:val="00DE66B5"/>
    <w:rsid w:val="00DE6D3C"/>
    <w:rsid w:val="00DE6EF3"/>
    <w:rsid w:val="00DE7169"/>
    <w:rsid w:val="00DE7381"/>
    <w:rsid w:val="00DE73C2"/>
    <w:rsid w:val="00DE750B"/>
    <w:rsid w:val="00DE7681"/>
    <w:rsid w:val="00DE7777"/>
    <w:rsid w:val="00DF0715"/>
    <w:rsid w:val="00DF0812"/>
    <w:rsid w:val="00DF09A2"/>
    <w:rsid w:val="00DF137B"/>
    <w:rsid w:val="00DF1A94"/>
    <w:rsid w:val="00DF2021"/>
    <w:rsid w:val="00DF20AF"/>
    <w:rsid w:val="00DF2158"/>
    <w:rsid w:val="00DF242B"/>
    <w:rsid w:val="00DF263A"/>
    <w:rsid w:val="00DF31F6"/>
    <w:rsid w:val="00DF32CF"/>
    <w:rsid w:val="00DF34E8"/>
    <w:rsid w:val="00DF3646"/>
    <w:rsid w:val="00DF3906"/>
    <w:rsid w:val="00DF4214"/>
    <w:rsid w:val="00DF440F"/>
    <w:rsid w:val="00DF4B16"/>
    <w:rsid w:val="00DF4E94"/>
    <w:rsid w:val="00DF50E5"/>
    <w:rsid w:val="00DF52CC"/>
    <w:rsid w:val="00DF52D1"/>
    <w:rsid w:val="00DF5BAD"/>
    <w:rsid w:val="00DF5CF3"/>
    <w:rsid w:val="00DF5DE6"/>
    <w:rsid w:val="00DF5F0C"/>
    <w:rsid w:val="00DF5F6B"/>
    <w:rsid w:val="00DF6480"/>
    <w:rsid w:val="00DF64D6"/>
    <w:rsid w:val="00DF6702"/>
    <w:rsid w:val="00DF6825"/>
    <w:rsid w:val="00DF7C9E"/>
    <w:rsid w:val="00DF7F8A"/>
    <w:rsid w:val="00DF7FB7"/>
    <w:rsid w:val="00E0001D"/>
    <w:rsid w:val="00E00947"/>
    <w:rsid w:val="00E00B30"/>
    <w:rsid w:val="00E00D44"/>
    <w:rsid w:val="00E00E6E"/>
    <w:rsid w:val="00E00ECF"/>
    <w:rsid w:val="00E01297"/>
    <w:rsid w:val="00E014F5"/>
    <w:rsid w:val="00E017AF"/>
    <w:rsid w:val="00E018E3"/>
    <w:rsid w:val="00E0207E"/>
    <w:rsid w:val="00E02317"/>
    <w:rsid w:val="00E0276F"/>
    <w:rsid w:val="00E028AA"/>
    <w:rsid w:val="00E02C8F"/>
    <w:rsid w:val="00E02EF6"/>
    <w:rsid w:val="00E02FB3"/>
    <w:rsid w:val="00E03AE4"/>
    <w:rsid w:val="00E03B1F"/>
    <w:rsid w:val="00E03D1F"/>
    <w:rsid w:val="00E03F39"/>
    <w:rsid w:val="00E04198"/>
    <w:rsid w:val="00E04239"/>
    <w:rsid w:val="00E0437D"/>
    <w:rsid w:val="00E04641"/>
    <w:rsid w:val="00E04654"/>
    <w:rsid w:val="00E04840"/>
    <w:rsid w:val="00E04D88"/>
    <w:rsid w:val="00E04E40"/>
    <w:rsid w:val="00E04F19"/>
    <w:rsid w:val="00E0555B"/>
    <w:rsid w:val="00E05604"/>
    <w:rsid w:val="00E05675"/>
    <w:rsid w:val="00E05795"/>
    <w:rsid w:val="00E05A7C"/>
    <w:rsid w:val="00E05A82"/>
    <w:rsid w:val="00E05B90"/>
    <w:rsid w:val="00E05BEF"/>
    <w:rsid w:val="00E05E01"/>
    <w:rsid w:val="00E061D6"/>
    <w:rsid w:val="00E0626E"/>
    <w:rsid w:val="00E067FA"/>
    <w:rsid w:val="00E069FA"/>
    <w:rsid w:val="00E06AE4"/>
    <w:rsid w:val="00E06B8D"/>
    <w:rsid w:val="00E06D20"/>
    <w:rsid w:val="00E06DD1"/>
    <w:rsid w:val="00E06F7E"/>
    <w:rsid w:val="00E06FFE"/>
    <w:rsid w:val="00E074A2"/>
    <w:rsid w:val="00E0752D"/>
    <w:rsid w:val="00E075DF"/>
    <w:rsid w:val="00E07783"/>
    <w:rsid w:val="00E07A6D"/>
    <w:rsid w:val="00E100ED"/>
    <w:rsid w:val="00E10240"/>
    <w:rsid w:val="00E10827"/>
    <w:rsid w:val="00E10894"/>
    <w:rsid w:val="00E1097C"/>
    <w:rsid w:val="00E111AA"/>
    <w:rsid w:val="00E114DC"/>
    <w:rsid w:val="00E11B06"/>
    <w:rsid w:val="00E120C4"/>
    <w:rsid w:val="00E121A6"/>
    <w:rsid w:val="00E12533"/>
    <w:rsid w:val="00E1261A"/>
    <w:rsid w:val="00E1290B"/>
    <w:rsid w:val="00E129AD"/>
    <w:rsid w:val="00E12E3B"/>
    <w:rsid w:val="00E12E74"/>
    <w:rsid w:val="00E12F31"/>
    <w:rsid w:val="00E13139"/>
    <w:rsid w:val="00E13356"/>
    <w:rsid w:val="00E13A9F"/>
    <w:rsid w:val="00E14046"/>
    <w:rsid w:val="00E14431"/>
    <w:rsid w:val="00E1497A"/>
    <w:rsid w:val="00E151BC"/>
    <w:rsid w:val="00E1540A"/>
    <w:rsid w:val="00E157E8"/>
    <w:rsid w:val="00E1582F"/>
    <w:rsid w:val="00E1594F"/>
    <w:rsid w:val="00E15CC2"/>
    <w:rsid w:val="00E160E1"/>
    <w:rsid w:val="00E16376"/>
    <w:rsid w:val="00E16A93"/>
    <w:rsid w:val="00E16A9D"/>
    <w:rsid w:val="00E16DC8"/>
    <w:rsid w:val="00E171B0"/>
    <w:rsid w:val="00E171F0"/>
    <w:rsid w:val="00E17459"/>
    <w:rsid w:val="00E17649"/>
    <w:rsid w:val="00E176BF"/>
    <w:rsid w:val="00E17833"/>
    <w:rsid w:val="00E17B27"/>
    <w:rsid w:val="00E204FB"/>
    <w:rsid w:val="00E20505"/>
    <w:rsid w:val="00E20617"/>
    <w:rsid w:val="00E20924"/>
    <w:rsid w:val="00E20B08"/>
    <w:rsid w:val="00E20D6F"/>
    <w:rsid w:val="00E20E39"/>
    <w:rsid w:val="00E20F3A"/>
    <w:rsid w:val="00E21679"/>
    <w:rsid w:val="00E21717"/>
    <w:rsid w:val="00E217B7"/>
    <w:rsid w:val="00E21A74"/>
    <w:rsid w:val="00E22064"/>
    <w:rsid w:val="00E22434"/>
    <w:rsid w:val="00E2257F"/>
    <w:rsid w:val="00E22B16"/>
    <w:rsid w:val="00E22E3B"/>
    <w:rsid w:val="00E22FD7"/>
    <w:rsid w:val="00E231FB"/>
    <w:rsid w:val="00E23254"/>
    <w:rsid w:val="00E23928"/>
    <w:rsid w:val="00E23BD2"/>
    <w:rsid w:val="00E23C75"/>
    <w:rsid w:val="00E23D3C"/>
    <w:rsid w:val="00E24164"/>
    <w:rsid w:val="00E24485"/>
    <w:rsid w:val="00E24572"/>
    <w:rsid w:val="00E24712"/>
    <w:rsid w:val="00E24736"/>
    <w:rsid w:val="00E24E9A"/>
    <w:rsid w:val="00E25309"/>
    <w:rsid w:val="00E25706"/>
    <w:rsid w:val="00E25740"/>
    <w:rsid w:val="00E258C2"/>
    <w:rsid w:val="00E25916"/>
    <w:rsid w:val="00E25DD9"/>
    <w:rsid w:val="00E25E26"/>
    <w:rsid w:val="00E25E4E"/>
    <w:rsid w:val="00E25EB8"/>
    <w:rsid w:val="00E25FC3"/>
    <w:rsid w:val="00E2604B"/>
    <w:rsid w:val="00E264DA"/>
    <w:rsid w:val="00E26510"/>
    <w:rsid w:val="00E26589"/>
    <w:rsid w:val="00E2670E"/>
    <w:rsid w:val="00E26D03"/>
    <w:rsid w:val="00E26EBF"/>
    <w:rsid w:val="00E270ED"/>
    <w:rsid w:val="00E27158"/>
    <w:rsid w:val="00E27BBB"/>
    <w:rsid w:val="00E27C62"/>
    <w:rsid w:val="00E27D13"/>
    <w:rsid w:val="00E27FDF"/>
    <w:rsid w:val="00E300A2"/>
    <w:rsid w:val="00E30387"/>
    <w:rsid w:val="00E30623"/>
    <w:rsid w:val="00E30AED"/>
    <w:rsid w:val="00E30C04"/>
    <w:rsid w:val="00E30D0A"/>
    <w:rsid w:val="00E30E37"/>
    <w:rsid w:val="00E30EEE"/>
    <w:rsid w:val="00E30F5B"/>
    <w:rsid w:val="00E310D0"/>
    <w:rsid w:val="00E31160"/>
    <w:rsid w:val="00E3180F"/>
    <w:rsid w:val="00E318AD"/>
    <w:rsid w:val="00E31B0D"/>
    <w:rsid w:val="00E31FBC"/>
    <w:rsid w:val="00E32033"/>
    <w:rsid w:val="00E32076"/>
    <w:rsid w:val="00E32228"/>
    <w:rsid w:val="00E32603"/>
    <w:rsid w:val="00E3266E"/>
    <w:rsid w:val="00E32770"/>
    <w:rsid w:val="00E32E9B"/>
    <w:rsid w:val="00E32ED4"/>
    <w:rsid w:val="00E32FAD"/>
    <w:rsid w:val="00E32FCE"/>
    <w:rsid w:val="00E33147"/>
    <w:rsid w:val="00E33584"/>
    <w:rsid w:val="00E33670"/>
    <w:rsid w:val="00E3370C"/>
    <w:rsid w:val="00E33DD3"/>
    <w:rsid w:val="00E34063"/>
    <w:rsid w:val="00E34262"/>
    <w:rsid w:val="00E34357"/>
    <w:rsid w:val="00E34442"/>
    <w:rsid w:val="00E345B9"/>
    <w:rsid w:val="00E346AB"/>
    <w:rsid w:val="00E346D7"/>
    <w:rsid w:val="00E347EC"/>
    <w:rsid w:val="00E34A77"/>
    <w:rsid w:val="00E34BEB"/>
    <w:rsid w:val="00E34D19"/>
    <w:rsid w:val="00E34D9B"/>
    <w:rsid w:val="00E34E8C"/>
    <w:rsid w:val="00E35131"/>
    <w:rsid w:val="00E358C2"/>
    <w:rsid w:val="00E35954"/>
    <w:rsid w:val="00E35983"/>
    <w:rsid w:val="00E35F98"/>
    <w:rsid w:val="00E35FA7"/>
    <w:rsid w:val="00E36196"/>
    <w:rsid w:val="00E36337"/>
    <w:rsid w:val="00E365A7"/>
    <w:rsid w:val="00E365CE"/>
    <w:rsid w:val="00E3691D"/>
    <w:rsid w:val="00E36ACF"/>
    <w:rsid w:val="00E36C36"/>
    <w:rsid w:val="00E36E41"/>
    <w:rsid w:val="00E36FE3"/>
    <w:rsid w:val="00E370EB"/>
    <w:rsid w:val="00E372DD"/>
    <w:rsid w:val="00E373A1"/>
    <w:rsid w:val="00E37BFE"/>
    <w:rsid w:val="00E37C74"/>
    <w:rsid w:val="00E37D53"/>
    <w:rsid w:val="00E4011E"/>
    <w:rsid w:val="00E405AA"/>
    <w:rsid w:val="00E40BFD"/>
    <w:rsid w:val="00E412B0"/>
    <w:rsid w:val="00E4147D"/>
    <w:rsid w:val="00E4170F"/>
    <w:rsid w:val="00E41B4E"/>
    <w:rsid w:val="00E420EC"/>
    <w:rsid w:val="00E4244F"/>
    <w:rsid w:val="00E42706"/>
    <w:rsid w:val="00E42837"/>
    <w:rsid w:val="00E42B06"/>
    <w:rsid w:val="00E42EEB"/>
    <w:rsid w:val="00E4306D"/>
    <w:rsid w:val="00E434AB"/>
    <w:rsid w:val="00E43580"/>
    <w:rsid w:val="00E43660"/>
    <w:rsid w:val="00E43BE7"/>
    <w:rsid w:val="00E43C66"/>
    <w:rsid w:val="00E4419B"/>
    <w:rsid w:val="00E44275"/>
    <w:rsid w:val="00E445FB"/>
    <w:rsid w:val="00E44816"/>
    <w:rsid w:val="00E44905"/>
    <w:rsid w:val="00E44E39"/>
    <w:rsid w:val="00E45C85"/>
    <w:rsid w:val="00E45DF3"/>
    <w:rsid w:val="00E45F59"/>
    <w:rsid w:val="00E46200"/>
    <w:rsid w:val="00E467F5"/>
    <w:rsid w:val="00E46904"/>
    <w:rsid w:val="00E46957"/>
    <w:rsid w:val="00E47029"/>
    <w:rsid w:val="00E470D4"/>
    <w:rsid w:val="00E47B87"/>
    <w:rsid w:val="00E47DCE"/>
    <w:rsid w:val="00E47E32"/>
    <w:rsid w:val="00E501C8"/>
    <w:rsid w:val="00E505D8"/>
    <w:rsid w:val="00E50C24"/>
    <w:rsid w:val="00E50E61"/>
    <w:rsid w:val="00E51038"/>
    <w:rsid w:val="00E51848"/>
    <w:rsid w:val="00E518B5"/>
    <w:rsid w:val="00E519B4"/>
    <w:rsid w:val="00E51B40"/>
    <w:rsid w:val="00E51CB0"/>
    <w:rsid w:val="00E51D1C"/>
    <w:rsid w:val="00E51D27"/>
    <w:rsid w:val="00E51D7E"/>
    <w:rsid w:val="00E52AAA"/>
    <w:rsid w:val="00E52D08"/>
    <w:rsid w:val="00E5365C"/>
    <w:rsid w:val="00E53A3D"/>
    <w:rsid w:val="00E53A49"/>
    <w:rsid w:val="00E53AB1"/>
    <w:rsid w:val="00E53C10"/>
    <w:rsid w:val="00E53C66"/>
    <w:rsid w:val="00E53D8C"/>
    <w:rsid w:val="00E5450F"/>
    <w:rsid w:val="00E5455F"/>
    <w:rsid w:val="00E5478B"/>
    <w:rsid w:val="00E55EFF"/>
    <w:rsid w:val="00E56140"/>
    <w:rsid w:val="00E567CF"/>
    <w:rsid w:val="00E56876"/>
    <w:rsid w:val="00E568D7"/>
    <w:rsid w:val="00E56B51"/>
    <w:rsid w:val="00E57149"/>
    <w:rsid w:val="00E5765B"/>
    <w:rsid w:val="00E5790F"/>
    <w:rsid w:val="00E602AC"/>
    <w:rsid w:val="00E604EF"/>
    <w:rsid w:val="00E6066D"/>
    <w:rsid w:val="00E606F2"/>
    <w:rsid w:val="00E608CD"/>
    <w:rsid w:val="00E60A01"/>
    <w:rsid w:val="00E60A7F"/>
    <w:rsid w:val="00E60CA9"/>
    <w:rsid w:val="00E6122B"/>
    <w:rsid w:val="00E6139B"/>
    <w:rsid w:val="00E614EA"/>
    <w:rsid w:val="00E614F4"/>
    <w:rsid w:val="00E61841"/>
    <w:rsid w:val="00E61C2A"/>
    <w:rsid w:val="00E62367"/>
    <w:rsid w:val="00E62938"/>
    <w:rsid w:val="00E62A79"/>
    <w:rsid w:val="00E62D31"/>
    <w:rsid w:val="00E632CF"/>
    <w:rsid w:val="00E634EE"/>
    <w:rsid w:val="00E63C1E"/>
    <w:rsid w:val="00E63E3D"/>
    <w:rsid w:val="00E64148"/>
    <w:rsid w:val="00E644DA"/>
    <w:rsid w:val="00E64AF3"/>
    <w:rsid w:val="00E64C54"/>
    <w:rsid w:val="00E64D56"/>
    <w:rsid w:val="00E6535A"/>
    <w:rsid w:val="00E659F4"/>
    <w:rsid w:val="00E66485"/>
    <w:rsid w:val="00E665F1"/>
    <w:rsid w:val="00E6683B"/>
    <w:rsid w:val="00E66B37"/>
    <w:rsid w:val="00E66E8F"/>
    <w:rsid w:val="00E67589"/>
    <w:rsid w:val="00E67826"/>
    <w:rsid w:val="00E679D7"/>
    <w:rsid w:val="00E67B8C"/>
    <w:rsid w:val="00E700E7"/>
    <w:rsid w:val="00E702DA"/>
    <w:rsid w:val="00E705BA"/>
    <w:rsid w:val="00E70AAA"/>
    <w:rsid w:val="00E70FD6"/>
    <w:rsid w:val="00E710B5"/>
    <w:rsid w:val="00E71166"/>
    <w:rsid w:val="00E71185"/>
    <w:rsid w:val="00E71256"/>
    <w:rsid w:val="00E715A9"/>
    <w:rsid w:val="00E719EF"/>
    <w:rsid w:val="00E71A05"/>
    <w:rsid w:val="00E71BCB"/>
    <w:rsid w:val="00E72411"/>
    <w:rsid w:val="00E72566"/>
    <w:rsid w:val="00E72835"/>
    <w:rsid w:val="00E72CAC"/>
    <w:rsid w:val="00E735AC"/>
    <w:rsid w:val="00E736EA"/>
    <w:rsid w:val="00E73740"/>
    <w:rsid w:val="00E73902"/>
    <w:rsid w:val="00E73BC2"/>
    <w:rsid w:val="00E73C76"/>
    <w:rsid w:val="00E73D95"/>
    <w:rsid w:val="00E74632"/>
    <w:rsid w:val="00E74780"/>
    <w:rsid w:val="00E74844"/>
    <w:rsid w:val="00E74A90"/>
    <w:rsid w:val="00E74BBA"/>
    <w:rsid w:val="00E74CE3"/>
    <w:rsid w:val="00E74DE5"/>
    <w:rsid w:val="00E74F27"/>
    <w:rsid w:val="00E750DE"/>
    <w:rsid w:val="00E761E0"/>
    <w:rsid w:val="00E76427"/>
    <w:rsid w:val="00E768CF"/>
    <w:rsid w:val="00E76A05"/>
    <w:rsid w:val="00E772E7"/>
    <w:rsid w:val="00E77660"/>
    <w:rsid w:val="00E77D1D"/>
    <w:rsid w:val="00E77E4A"/>
    <w:rsid w:val="00E8067A"/>
    <w:rsid w:val="00E806B0"/>
    <w:rsid w:val="00E8095A"/>
    <w:rsid w:val="00E81001"/>
    <w:rsid w:val="00E817B2"/>
    <w:rsid w:val="00E817F4"/>
    <w:rsid w:val="00E81801"/>
    <w:rsid w:val="00E81863"/>
    <w:rsid w:val="00E818AE"/>
    <w:rsid w:val="00E81A6E"/>
    <w:rsid w:val="00E81AB3"/>
    <w:rsid w:val="00E81BD7"/>
    <w:rsid w:val="00E81D68"/>
    <w:rsid w:val="00E81E15"/>
    <w:rsid w:val="00E81F87"/>
    <w:rsid w:val="00E82549"/>
    <w:rsid w:val="00E82944"/>
    <w:rsid w:val="00E82AB0"/>
    <w:rsid w:val="00E82EC9"/>
    <w:rsid w:val="00E82F1A"/>
    <w:rsid w:val="00E82FD8"/>
    <w:rsid w:val="00E8310E"/>
    <w:rsid w:val="00E83157"/>
    <w:rsid w:val="00E8346C"/>
    <w:rsid w:val="00E8354B"/>
    <w:rsid w:val="00E83D44"/>
    <w:rsid w:val="00E8409D"/>
    <w:rsid w:val="00E840B4"/>
    <w:rsid w:val="00E847EF"/>
    <w:rsid w:val="00E8481A"/>
    <w:rsid w:val="00E84D09"/>
    <w:rsid w:val="00E84D88"/>
    <w:rsid w:val="00E84E12"/>
    <w:rsid w:val="00E85085"/>
    <w:rsid w:val="00E857CE"/>
    <w:rsid w:val="00E85A63"/>
    <w:rsid w:val="00E85F90"/>
    <w:rsid w:val="00E8639F"/>
    <w:rsid w:val="00E863F3"/>
    <w:rsid w:val="00E864D6"/>
    <w:rsid w:val="00E86532"/>
    <w:rsid w:val="00E86768"/>
    <w:rsid w:val="00E8681B"/>
    <w:rsid w:val="00E86B15"/>
    <w:rsid w:val="00E86B96"/>
    <w:rsid w:val="00E8716C"/>
    <w:rsid w:val="00E87402"/>
    <w:rsid w:val="00E8772E"/>
    <w:rsid w:val="00E877C4"/>
    <w:rsid w:val="00E87B4E"/>
    <w:rsid w:val="00E87DC7"/>
    <w:rsid w:val="00E90335"/>
    <w:rsid w:val="00E9063E"/>
    <w:rsid w:val="00E90CC0"/>
    <w:rsid w:val="00E90EA5"/>
    <w:rsid w:val="00E91953"/>
    <w:rsid w:val="00E91F5E"/>
    <w:rsid w:val="00E92027"/>
    <w:rsid w:val="00E92129"/>
    <w:rsid w:val="00E92144"/>
    <w:rsid w:val="00E922A0"/>
    <w:rsid w:val="00E92476"/>
    <w:rsid w:val="00E928E5"/>
    <w:rsid w:val="00E92D70"/>
    <w:rsid w:val="00E92EA4"/>
    <w:rsid w:val="00E92EE3"/>
    <w:rsid w:val="00E93043"/>
    <w:rsid w:val="00E9312A"/>
    <w:rsid w:val="00E93264"/>
    <w:rsid w:val="00E933B4"/>
    <w:rsid w:val="00E93875"/>
    <w:rsid w:val="00E93BCD"/>
    <w:rsid w:val="00E94C83"/>
    <w:rsid w:val="00E9577A"/>
    <w:rsid w:val="00E958F3"/>
    <w:rsid w:val="00E95DB6"/>
    <w:rsid w:val="00E95DB8"/>
    <w:rsid w:val="00E95DDB"/>
    <w:rsid w:val="00E95FD3"/>
    <w:rsid w:val="00E95FE1"/>
    <w:rsid w:val="00E96D8B"/>
    <w:rsid w:val="00E97372"/>
    <w:rsid w:val="00E973B7"/>
    <w:rsid w:val="00E97621"/>
    <w:rsid w:val="00E97731"/>
    <w:rsid w:val="00E979D1"/>
    <w:rsid w:val="00E97B02"/>
    <w:rsid w:val="00E97D3E"/>
    <w:rsid w:val="00EA0057"/>
    <w:rsid w:val="00EA0247"/>
    <w:rsid w:val="00EA042E"/>
    <w:rsid w:val="00EA06C5"/>
    <w:rsid w:val="00EA0953"/>
    <w:rsid w:val="00EA0DD0"/>
    <w:rsid w:val="00EA116A"/>
    <w:rsid w:val="00EA1211"/>
    <w:rsid w:val="00EA12AA"/>
    <w:rsid w:val="00EA131E"/>
    <w:rsid w:val="00EA1541"/>
    <w:rsid w:val="00EA1793"/>
    <w:rsid w:val="00EA1880"/>
    <w:rsid w:val="00EA18BD"/>
    <w:rsid w:val="00EA18E9"/>
    <w:rsid w:val="00EA1C15"/>
    <w:rsid w:val="00EA1C37"/>
    <w:rsid w:val="00EA1CDE"/>
    <w:rsid w:val="00EA1DA5"/>
    <w:rsid w:val="00EA1DB3"/>
    <w:rsid w:val="00EA1E91"/>
    <w:rsid w:val="00EA2251"/>
    <w:rsid w:val="00EA22C0"/>
    <w:rsid w:val="00EA22D8"/>
    <w:rsid w:val="00EA2446"/>
    <w:rsid w:val="00EA2A21"/>
    <w:rsid w:val="00EA2C05"/>
    <w:rsid w:val="00EA30E6"/>
    <w:rsid w:val="00EA3AD5"/>
    <w:rsid w:val="00EA43D0"/>
    <w:rsid w:val="00EA4522"/>
    <w:rsid w:val="00EA4982"/>
    <w:rsid w:val="00EA4B9E"/>
    <w:rsid w:val="00EA4BB9"/>
    <w:rsid w:val="00EA4C4D"/>
    <w:rsid w:val="00EA517A"/>
    <w:rsid w:val="00EA5585"/>
    <w:rsid w:val="00EA5F20"/>
    <w:rsid w:val="00EA6275"/>
    <w:rsid w:val="00EA64C0"/>
    <w:rsid w:val="00EA6512"/>
    <w:rsid w:val="00EA6714"/>
    <w:rsid w:val="00EA6956"/>
    <w:rsid w:val="00EA6BC6"/>
    <w:rsid w:val="00EA6FB6"/>
    <w:rsid w:val="00EA7019"/>
    <w:rsid w:val="00EA7029"/>
    <w:rsid w:val="00EA72E5"/>
    <w:rsid w:val="00EA764C"/>
    <w:rsid w:val="00EA776B"/>
    <w:rsid w:val="00EA7991"/>
    <w:rsid w:val="00EA7AD2"/>
    <w:rsid w:val="00EA7BEC"/>
    <w:rsid w:val="00EB018E"/>
    <w:rsid w:val="00EB0B66"/>
    <w:rsid w:val="00EB1179"/>
    <w:rsid w:val="00EB190F"/>
    <w:rsid w:val="00EB1966"/>
    <w:rsid w:val="00EB19B2"/>
    <w:rsid w:val="00EB19CE"/>
    <w:rsid w:val="00EB1A58"/>
    <w:rsid w:val="00EB1EBF"/>
    <w:rsid w:val="00EB1FD7"/>
    <w:rsid w:val="00EB2335"/>
    <w:rsid w:val="00EB2341"/>
    <w:rsid w:val="00EB2503"/>
    <w:rsid w:val="00EB28FF"/>
    <w:rsid w:val="00EB2C6B"/>
    <w:rsid w:val="00EB2D3F"/>
    <w:rsid w:val="00EB2E10"/>
    <w:rsid w:val="00EB33E5"/>
    <w:rsid w:val="00EB3529"/>
    <w:rsid w:val="00EB35F0"/>
    <w:rsid w:val="00EB3845"/>
    <w:rsid w:val="00EB4271"/>
    <w:rsid w:val="00EB4596"/>
    <w:rsid w:val="00EB474F"/>
    <w:rsid w:val="00EB544F"/>
    <w:rsid w:val="00EB54D0"/>
    <w:rsid w:val="00EB57A5"/>
    <w:rsid w:val="00EB590C"/>
    <w:rsid w:val="00EB5AE9"/>
    <w:rsid w:val="00EB5C49"/>
    <w:rsid w:val="00EB5DA3"/>
    <w:rsid w:val="00EB5F64"/>
    <w:rsid w:val="00EB60F5"/>
    <w:rsid w:val="00EB6157"/>
    <w:rsid w:val="00EB615D"/>
    <w:rsid w:val="00EB63EA"/>
    <w:rsid w:val="00EB6820"/>
    <w:rsid w:val="00EB6B04"/>
    <w:rsid w:val="00EB6C0B"/>
    <w:rsid w:val="00EB6CD9"/>
    <w:rsid w:val="00EB6DFB"/>
    <w:rsid w:val="00EB7132"/>
    <w:rsid w:val="00EB7543"/>
    <w:rsid w:val="00EB78A9"/>
    <w:rsid w:val="00EC027C"/>
    <w:rsid w:val="00EC03A0"/>
    <w:rsid w:val="00EC052C"/>
    <w:rsid w:val="00EC05D5"/>
    <w:rsid w:val="00EC05E9"/>
    <w:rsid w:val="00EC09D1"/>
    <w:rsid w:val="00EC0A38"/>
    <w:rsid w:val="00EC0F2C"/>
    <w:rsid w:val="00EC1041"/>
    <w:rsid w:val="00EC12B0"/>
    <w:rsid w:val="00EC12FF"/>
    <w:rsid w:val="00EC16E7"/>
    <w:rsid w:val="00EC16ED"/>
    <w:rsid w:val="00EC1A6C"/>
    <w:rsid w:val="00EC1BAA"/>
    <w:rsid w:val="00EC1BF6"/>
    <w:rsid w:val="00EC21ED"/>
    <w:rsid w:val="00EC229A"/>
    <w:rsid w:val="00EC25BD"/>
    <w:rsid w:val="00EC2ADA"/>
    <w:rsid w:val="00EC2CA2"/>
    <w:rsid w:val="00EC2F22"/>
    <w:rsid w:val="00EC2F94"/>
    <w:rsid w:val="00EC3022"/>
    <w:rsid w:val="00EC31FB"/>
    <w:rsid w:val="00EC32FF"/>
    <w:rsid w:val="00EC38A2"/>
    <w:rsid w:val="00EC3922"/>
    <w:rsid w:val="00EC394E"/>
    <w:rsid w:val="00EC3E8B"/>
    <w:rsid w:val="00EC3F81"/>
    <w:rsid w:val="00EC40CB"/>
    <w:rsid w:val="00EC42C1"/>
    <w:rsid w:val="00EC4C77"/>
    <w:rsid w:val="00EC50DD"/>
    <w:rsid w:val="00EC543C"/>
    <w:rsid w:val="00EC57A0"/>
    <w:rsid w:val="00EC57B0"/>
    <w:rsid w:val="00EC5E35"/>
    <w:rsid w:val="00EC5F30"/>
    <w:rsid w:val="00EC6289"/>
    <w:rsid w:val="00EC65D5"/>
    <w:rsid w:val="00EC670D"/>
    <w:rsid w:val="00EC6949"/>
    <w:rsid w:val="00EC6A37"/>
    <w:rsid w:val="00EC6DCC"/>
    <w:rsid w:val="00EC6E7C"/>
    <w:rsid w:val="00EC7555"/>
    <w:rsid w:val="00EC7B86"/>
    <w:rsid w:val="00ED024C"/>
    <w:rsid w:val="00ED0353"/>
    <w:rsid w:val="00ED03B0"/>
    <w:rsid w:val="00ED0882"/>
    <w:rsid w:val="00ED0C0C"/>
    <w:rsid w:val="00ED0C45"/>
    <w:rsid w:val="00ED1289"/>
    <w:rsid w:val="00ED14C3"/>
    <w:rsid w:val="00ED162B"/>
    <w:rsid w:val="00ED1912"/>
    <w:rsid w:val="00ED1FE0"/>
    <w:rsid w:val="00ED2136"/>
    <w:rsid w:val="00ED2645"/>
    <w:rsid w:val="00ED2A77"/>
    <w:rsid w:val="00ED2E85"/>
    <w:rsid w:val="00ED4360"/>
    <w:rsid w:val="00ED43EE"/>
    <w:rsid w:val="00ED4704"/>
    <w:rsid w:val="00ED47E7"/>
    <w:rsid w:val="00ED4E3B"/>
    <w:rsid w:val="00ED4E94"/>
    <w:rsid w:val="00ED51D7"/>
    <w:rsid w:val="00ED51E3"/>
    <w:rsid w:val="00ED53C9"/>
    <w:rsid w:val="00ED56F2"/>
    <w:rsid w:val="00ED5973"/>
    <w:rsid w:val="00ED5FA0"/>
    <w:rsid w:val="00ED6121"/>
    <w:rsid w:val="00ED62E0"/>
    <w:rsid w:val="00ED63A6"/>
    <w:rsid w:val="00ED644F"/>
    <w:rsid w:val="00ED68DC"/>
    <w:rsid w:val="00ED6B24"/>
    <w:rsid w:val="00ED75E9"/>
    <w:rsid w:val="00ED76EE"/>
    <w:rsid w:val="00ED77CA"/>
    <w:rsid w:val="00ED7826"/>
    <w:rsid w:val="00ED7989"/>
    <w:rsid w:val="00ED7AE2"/>
    <w:rsid w:val="00EE01E8"/>
    <w:rsid w:val="00EE02C7"/>
    <w:rsid w:val="00EE098D"/>
    <w:rsid w:val="00EE0C2F"/>
    <w:rsid w:val="00EE0FDF"/>
    <w:rsid w:val="00EE1171"/>
    <w:rsid w:val="00EE1267"/>
    <w:rsid w:val="00EE159B"/>
    <w:rsid w:val="00EE1BDD"/>
    <w:rsid w:val="00EE1EB3"/>
    <w:rsid w:val="00EE2022"/>
    <w:rsid w:val="00EE26E0"/>
    <w:rsid w:val="00EE26F4"/>
    <w:rsid w:val="00EE29D8"/>
    <w:rsid w:val="00EE2B4B"/>
    <w:rsid w:val="00EE2B74"/>
    <w:rsid w:val="00EE341B"/>
    <w:rsid w:val="00EE364B"/>
    <w:rsid w:val="00EE39F0"/>
    <w:rsid w:val="00EE3C7A"/>
    <w:rsid w:val="00EE3D9D"/>
    <w:rsid w:val="00EE440A"/>
    <w:rsid w:val="00EE45DF"/>
    <w:rsid w:val="00EE5303"/>
    <w:rsid w:val="00EE5472"/>
    <w:rsid w:val="00EE57DF"/>
    <w:rsid w:val="00EE629E"/>
    <w:rsid w:val="00EE6CD7"/>
    <w:rsid w:val="00EE6D86"/>
    <w:rsid w:val="00EE7347"/>
    <w:rsid w:val="00EE7374"/>
    <w:rsid w:val="00EE74AE"/>
    <w:rsid w:val="00EE74B5"/>
    <w:rsid w:val="00EE74D3"/>
    <w:rsid w:val="00EE7818"/>
    <w:rsid w:val="00EE7EE5"/>
    <w:rsid w:val="00EE7FF6"/>
    <w:rsid w:val="00EF00C1"/>
    <w:rsid w:val="00EF0159"/>
    <w:rsid w:val="00EF03DD"/>
    <w:rsid w:val="00EF04F3"/>
    <w:rsid w:val="00EF09FB"/>
    <w:rsid w:val="00EF0EBC"/>
    <w:rsid w:val="00EF1029"/>
    <w:rsid w:val="00EF13D1"/>
    <w:rsid w:val="00EF14F5"/>
    <w:rsid w:val="00EF180F"/>
    <w:rsid w:val="00EF1AE9"/>
    <w:rsid w:val="00EF1B90"/>
    <w:rsid w:val="00EF1C4F"/>
    <w:rsid w:val="00EF1CC1"/>
    <w:rsid w:val="00EF1EB3"/>
    <w:rsid w:val="00EF200A"/>
    <w:rsid w:val="00EF21D0"/>
    <w:rsid w:val="00EF228F"/>
    <w:rsid w:val="00EF2B1B"/>
    <w:rsid w:val="00EF2B87"/>
    <w:rsid w:val="00EF2F01"/>
    <w:rsid w:val="00EF32CB"/>
    <w:rsid w:val="00EF32F0"/>
    <w:rsid w:val="00EF33B4"/>
    <w:rsid w:val="00EF33B5"/>
    <w:rsid w:val="00EF342F"/>
    <w:rsid w:val="00EF3872"/>
    <w:rsid w:val="00EF3B2C"/>
    <w:rsid w:val="00EF3B7E"/>
    <w:rsid w:val="00EF3DE1"/>
    <w:rsid w:val="00EF42F3"/>
    <w:rsid w:val="00EF4356"/>
    <w:rsid w:val="00EF4442"/>
    <w:rsid w:val="00EF4DA6"/>
    <w:rsid w:val="00EF4F6C"/>
    <w:rsid w:val="00EF4F8B"/>
    <w:rsid w:val="00EF4FD8"/>
    <w:rsid w:val="00EF51A5"/>
    <w:rsid w:val="00EF51EC"/>
    <w:rsid w:val="00EF53F5"/>
    <w:rsid w:val="00EF562D"/>
    <w:rsid w:val="00EF5F0D"/>
    <w:rsid w:val="00EF61BC"/>
    <w:rsid w:val="00EF6294"/>
    <w:rsid w:val="00EF6656"/>
    <w:rsid w:val="00EF66DD"/>
    <w:rsid w:val="00EF6743"/>
    <w:rsid w:val="00EF6763"/>
    <w:rsid w:val="00EF6952"/>
    <w:rsid w:val="00EF6C98"/>
    <w:rsid w:val="00EF70F4"/>
    <w:rsid w:val="00EF7185"/>
    <w:rsid w:val="00EF73DC"/>
    <w:rsid w:val="00EF77D8"/>
    <w:rsid w:val="00EF79AA"/>
    <w:rsid w:val="00EF7A78"/>
    <w:rsid w:val="00EF7BE0"/>
    <w:rsid w:val="00EF7C37"/>
    <w:rsid w:val="00EF7F0D"/>
    <w:rsid w:val="00F001BA"/>
    <w:rsid w:val="00F00308"/>
    <w:rsid w:val="00F0048F"/>
    <w:rsid w:val="00F00838"/>
    <w:rsid w:val="00F00911"/>
    <w:rsid w:val="00F01769"/>
    <w:rsid w:val="00F017F4"/>
    <w:rsid w:val="00F01A27"/>
    <w:rsid w:val="00F01AF8"/>
    <w:rsid w:val="00F01C10"/>
    <w:rsid w:val="00F01EDC"/>
    <w:rsid w:val="00F02073"/>
    <w:rsid w:val="00F0216B"/>
    <w:rsid w:val="00F02237"/>
    <w:rsid w:val="00F02528"/>
    <w:rsid w:val="00F02B2D"/>
    <w:rsid w:val="00F02D93"/>
    <w:rsid w:val="00F02E3F"/>
    <w:rsid w:val="00F02FF7"/>
    <w:rsid w:val="00F03300"/>
    <w:rsid w:val="00F035C5"/>
    <w:rsid w:val="00F036D7"/>
    <w:rsid w:val="00F03DF6"/>
    <w:rsid w:val="00F04250"/>
    <w:rsid w:val="00F043CE"/>
    <w:rsid w:val="00F0486F"/>
    <w:rsid w:val="00F04DA5"/>
    <w:rsid w:val="00F04DF1"/>
    <w:rsid w:val="00F0506F"/>
    <w:rsid w:val="00F050D4"/>
    <w:rsid w:val="00F0551A"/>
    <w:rsid w:val="00F0561C"/>
    <w:rsid w:val="00F059EC"/>
    <w:rsid w:val="00F0601D"/>
    <w:rsid w:val="00F063B0"/>
    <w:rsid w:val="00F0652B"/>
    <w:rsid w:val="00F06985"/>
    <w:rsid w:val="00F06ED0"/>
    <w:rsid w:val="00F071CA"/>
    <w:rsid w:val="00F07517"/>
    <w:rsid w:val="00F102E9"/>
    <w:rsid w:val="00F104A9"/>
    <w:rsid w:val="00F10C60"/>
    <w:rsid w:val="00F10D27"/>
    <w:rsid w:val="00F114A7"/>
    <w:rsid w:val="00F11632"/>
    <w:rsid w:val="00F1192A"/>
    <w:rsid w:val="00F11FEF"/>
    <w:rsid w:val="00F11FF3"/>
    <w:rsid w:val="00F12071"/>
    <w:rsid w:val="00F12369"/>
    <w:rsid w:val="00F126E3"/>
    <w:rsid w:val="00F13669"/>
    <w:rsid w:val="00F1368B"/>
    <w:rsid w:val="00F1379F"/>
    <w:rsid w:val="00F13B49"/>
    <w:rsid w:val="00F13DF2"/>
    <w:rsid w:val="00F13E1C"/>
    <w:rsid w:val="00F13E3B"/>
    <w:rsid w:val="00F14027"/>
    <w:rsid w:val="00F14685"/>
    <w:rsid w:val="00F14884"/>
    <w:rsid w:val="00F14A5F"/>
    <w:rsid w:val="00F14BD4"/>
    <w:rsid w:val="00F14C22"/>
    <w:rsid w:val="00F14CAA"/>
    <w:rsid w:val="00F14D64"/>
    <w:rsid w:val="00F14E46"/>
    <w:rsid w:val="00F1551B"/>
    <w:rsid w:val="00F155C8"/>
    <w:rsid w:val="00F15AC5"/>
    <w:rsid w:val="00F15C73"/>
    <w:rsid w:val="00F16536"/>
    <w:rsid w:val="00F1663E"/>
    <w:rsid w:val="00F16AC9"/>
    <w:rsid w:val="00F16B6E"/>
    <w:rsid w:val="00F16D66"/>
    <w:rsid w:val="00F17030"/>
    <w:rsid w:val="00F1774B"/>
    <w:rsid w:val="00F177F9"/>
    <w:rsid w:val="00F17DDD"/>
    <w:rsid w:val="00F2059A"/>
    <w:rsid w:val="00F20DC3"/>
    <w:rsid w:val="00F20F93"/>
    <w:rsid w:val="00F21035"/>
    <w:rsid w:val="00F211E2"/>
    <w:rsid w:val="00F212D6"/>
    <w:rsid w:val="00F21708"/>
    <w:rsid w:val="00F217FC"/>
    <w:rsid w:val="00F21958"/>
    <w:rsid w:val="00F21AA0"/>
    <w:rsid w:val="00F21C80"/>
    <w:rsid w:val="00F2208B"/>
    <w:rsid w:val="00F220FD"/>
    <w:rsid w:val="00F22217"/>
    <w:rsid w:val="00F222C9"/>
    <w:rsid w:val="00F2238E"/>
    <w:rsid w:val="00F2248E"/>
    <w:rsid w:val="00F2253E"/>
    <w:rsid w:val="00F22761"/>
    <w:rsid w:val="00F22CB4"/>
    <w:rsid w:val="00F235B2"/>
    <w:rsid w:val="00F2369F"/>
    <w:rsid w:val="00F23E3D"/>
    <w:rsid w:val="00F24009"/>
    <w:rsid w:val="00F2414A"/>
    <w:rsid w:val="00F24774"/>
    <w:rsid w:val="00F2498F"/>
    <w:rsid w:val="00F24A12"/>
    <w:rsid w:val="00F24E37"/>
    <w:rsid w:val="00F250DA"/>
    <w:rsid w:val="00F258CD"/>
    <w:rsid w:val="00F2595C"/>
    <w:rsid w:val="00F259C6"/>
    <w:rsid w:val="00F25C1C"/>
    <w:rsid w:val="00F2603E"/>
    <w:rsid w:val="00F268FC"/>
    <w:rsid w:val="00F26A9B"/>
    <w:rsid w:val="00F26AEB"/>
    <w:rsid w:val="00F26BC1"/>
    <w:rsid w:val="00F26D9A"/>
    <w:rsid w:val="00F26FF5"/>
    <w:rsid w:val="00F2731A"/>
    <w:rsid w:val="00F273AE"/>
    <w:rsid w:val="00F2752E"/>
    <w:rsid w:val="00F277DE"/>
    <w:rsid w:val="00F278B3"/>
    <w:rsid w:val="00F27CFD"/>
    <w:rsid w:val="00F27DEC"/>
    <w:rsid w:val="00F30160"/>
    <w:rsid w:val="00F30245"/>
    <w:rsid w:val="00F3045F"/>
    <w:rsid w:val="00F30A88"/>
    <w:rsid w:val="00F3127E"/>
    <w:rsid w:val="00F31613"/>
    <w:rsid w:val="00F31812"/>
    <w:rsid w:val="00F318BF"/>
    <w:rsid w:val="00F318FA"/>
    <w:rsid w:val="00F31911"/>
    <w:rsid w:val="00F319CD"/>
    <w:rsid w:val="00F31B26"/>
    <w:rsid w:val="00F31B69"/>
    <w:rsid w:val="00F31B6F"/>
    <w:rsid w:val="00F31B78"/>
    <w:rsid w:val="00F31C6E"/>
    <w:rsid w:val="00F31CC0"/>
    <w:rsid w:val="00F31FEE"/>
    <w:rsid w:val="00F3233D"/>
    <w:rsid w:val="00F323B3"/>
    <w:rsid w:val="00F3245C"/>
    <w:rsid w:val="00F328DB"/>
    <w:rsid w:val="00F32F8C"/>
    <w:rsid w:val="00F335C0"/>
    <w:rsid w:val="00F33759"/>
    <w:rsid w:val="00F33A41"/>
    <w:rsid w:val="00F33A89"/>
    <w:rsid w:val="00F340DA"/>
    <w:rsid w:val="00F3422C"/>
    <w:rsid w:val="00F3436F"/>
    <w:rsid w:val="00F3452B"/>
    <w:rsid w:val="00F346F0"/>
    <w:rsid w:val="00F348AE"/>
    <w:rsid w:val="00F348FB"/>
    <w:rsid w:val="00F34A18"/>
    <w:rsid w:val="00F34A3E"/>
    <w:rsid w:val="00F34A61"/>
    <w:rsid w:val="00F34CC2"/>
    <w:rsid w:val="00F34DD6"/>
    <w:rsid w:val="00F34E10"/>
    <w:rsid w:val="00F35189"/>
    <w:rsid w:val="00F35396"/>
    <w:rsid w:val="00F3564C"/>
    <w:rsid w:val="00F35CE1"/>
    <w:rsid w:val="00F35E1A"/>
    <w:rsid w:val="00F35F4B"/>
    <w:rsid w:val="00F363F2"/>
    <w:rsid w:val="00F36573"/>
    <w:rsid w:val="00F365FC"/>
    <w:rsid w:val="00F366E5"/>
    <w:rsid w:val="00F36746"/>
    <w:rsid w:val="00F368D4"/>
    <w:rsid w:val="00F371D7"/>
    <w:rsid w:val="00F37373"/>
    <w:rsid w:val="00F3742F"/>
    <w:rsid w:val="00F37576"/>
    <w:rsid w:val="00F3791B"/>
    <w:rsid w:val="00F37A87"/>
    <w:rsid w:val="00F37C8A"/>
    <w:rsid w:val="00F37E1D"/>
    <w:rsid w:val="00F40030"/>
    <w:rsid w:val="00F400F5"/>
    <w:rsid w:val="00F40235"/>
    <w:rsid w:val="00F4056E"/>
    <w:rsid w:val="00F405C2"/>
    <w:rsid w:val="00F40CBD"/>
    <w:rsid w:val="00F41261"/>
    <w:rsid w:val="00F414D9"/>
    <w:rsid w:val="00F41982"/>
    <w:rsid w:val="00F41E35"/>
    <w:rsid w:val="00F41FC3"/>
    <w:rsid w:val="00F42023"/>
    <w:rsid w:val="00F421A3"/>
    <w:rsid w:val="00F42424"/>
    <w:rsid w:val="00F4247E"/>
    <w:rsid w:val="00F4264E"/>
    <w:rsid w:val="00F42807"/>
    <w:rsid w:val="00F42AAA"/>
    <w:rsid w:val="00F42BD1"/>
    <w:rsid w:val="00F42C12"/>
    <w:rsid w:val="00F42D51"/>
    <w:rsid w:val="00F42E70"/>
    <w:rsid w:val="00F43119"/>
    <w:rsid w:val="00F43B45"/>
    <w:rsid w:val="00F43B95"/>
    <w:rsid w:val="00F43E5B"/>
    <w:rsid w:val="00F44885"/>
    <w:rsid w:val="00F44B47"/>
    <w:rsid w:val="00F44EFC"/>
    <w:rsid w:val="00F44FDD"/>
    <w:rsid w:val="00F45031"/>
    <w:rsid w:val="00F4552F"/>
    <w:rsid w:val="00F455FB"/>
    <w:rsid w:val="00F459D2"/>
    <w:rsid w:val="00F45AF0"/>
    <w:rsid w:val="00F45B42"/>
    <w:rsid w:val="00F45BA7"/>
    <w:rsid w:val="00F45CFB"/>
    <w:rsid w:val="00F46097"/>
    <w:rsid w:val="00F465C7"/>
    <w:rsid w:val="00F467FE"/>
    <w:rsid w:val="00F46AE5"/>
    <w:rsid w:val="00F46D69"/>
    <w:rsid w:val="00F46E0F"/>
    <w:rsid w:val="00F477C1"/>
    <w:rsid w:val="00F478B2"/>
    <w:rsid w:val="00F47D85"/>
    <w:rsid w:val="00F47E3F"/>
    <w:rsid w:val="00F504F0"/>
    <w:rsid w:val="00F50AEF"/>
    <w:rsid w:val="00F5103E"/>
    <w:rsid w:val="00F51149"/>
    <w:rsid w:val="00F511D8"/>
    <w:rsid w:val="00F5165C"/>
    <w:rsid w:val="00F51B42"/>
    <w:rsid w:val="00F51D48"/>
    <w:rsid w:val="00F51D5D"/>
    <w:rsid w:val="00F51FE3"/>
    <w:rsid w:val="00F52007"/>
    <w:rsid w:val="00F52547"/>
    <w:rsid w:val="00F5279D"/>
    <w:rsid w:val="00F52845"/>
    <w:rsid w:val="00F52861"/>
    <w:rsid w:val="00F52E70"/>
    <w:rsid w:val="00F52F26"/>
    <w:rsid w:val="00F533F6"/>
    <w:rsid w:val="00F534B9"/>
    <w:rsid w:val="00F53651"/>
    <w:rsid w:val="00F536F6"/>
    <w:rsid w:val="00F539EA"/>
    <w:rsid w:val="00F53B8D"/>
    <w:rsid w:val="00F53F27"/>
    <w:rsid w:val="00F54158"/>
    <w:rsid w:val="00F54B4A"/>
    <w:rsid w:val="00F54BE7"/>
    <w:rsid w:val="00F54DD1"/>
    <w:rsid w:val="00F55024"/>
    <w:rsid w:val="00F55160"/>
    <w:rsid w:val="00F552A8"/>
    <w:rsid w:val="00F55405"/>
    <w:rsid w:val="00F55479"/>
    <w:rsid w:val="00F55A05"/>
    <w:rsid w:val="00F561D2"/>
    <w:rsid w:val="00F56219"/>
    <w:rsid w:val="00F565A4"/>
    <w:rsid w:val="00F56844"/>
    <w:rsid w:val="00F56DEA"/>
    <w:rsid w:val="00F5710D"/>
    <w:rsid w:val="00F57343"/>
    <w:rsid w:val="00F574CE"/>
    <w:rsid w:val="00F57538"/>
    <w:rsid w:val="00F57643"/>
    <w:rsid w:val="00F57688"/>
    <w:rsid w:val="00F5776D"/>
    <w:rsid w:val="00F579B8"/>
    <w:rsid w:val="00F57E92"/>
    <w:rsid w:val="00F57E99"/>
    <w:rsid w:val="00F57F44"/>
    <w:rsid w:val="00F604E5"/>
    <w:rsid w:val="00F60576"/>
    <w:rsid w:val="00F60994"/>
    <w:rsid w:val="00F60AE8"/>
    <w:rsid w:val="00F60C71"/>
    <w:rsid w:val="00F60FA2"/>
    <w:rsid w:val="00F611EB"/>
    <w:rsid w:val="00F612E3"/>
    <w:rsid w:val="00F61556"/>
    <w:rsid w:val="00F618BF"/>
    <w:rsid w:val="00F6190F"/>
    <w:rsid w:val="00F6192F"/>
    <w:rsid w:val="00F61C7D"/>
    <w:rsid w:val="00F61DB6"/>
    <w:rsid w:val="00F61E41"/>
    <w:rsid w:val="00F62476"/>
    <w:rsid w:val="00F624D1"/>
    <w:rsid w:val="00F627E2"/>
    <w:rsid w:val="00F630EB"/>
    <w:rsid w:val="00F63598"/>
    <w:rsid w:val="00F63A15"/>
    <w:rsid w:val="00F64302"/>
    <w:rsid w:val="00F6432C"/>
    <w:rsid w:val="00F6455F"/>
    <w:rsid w:val="00F64659"/>
    <w:rsid w:val="00F647EB"/>
    <w:rsid w:val="00F64B89"/>
    <w:rsid w:val="00F64DCD"/>
    <w:rsid w:val="00F65210"/>
    <w:rsid w:val="00F65270"/>
    <w:rsid w:val="00F65A35"/>
    <w:rsid w:val="00F65ACE"/>
    <w:rsid w:val="00F65C4F"/>
    <w:rsid w:val="00F6653F"/>
    <w:rsid w:val="00F665B1"/>
    <w:rsid w:val="00F6666F"/>
    <w:rsid w:val="00F668F1"/>
    <w:rsid w:val="00F669E1"/>
    <w:rsid w:val="00F66A9E"/>
    <w:rsid w:val="00F66FA3"/>
    <w:rsid w:val="00F6773E"/>
    <w:rsid w:val="00F67ACD"/>
    <w:rsid w:val="00F67CFF"/>
    <w:rsid w:val="00F705BA"/>
    <w:rsid w:val="00F7088B"/>
    <w:rsid w:val="00F70957"/>
    <w:rsid w:val="00F70965"/>
    <w:rsid w:val="00F70EE9"/>
    <w:rsid w:val="00F71248"/>
    <w:rsid w:val="00F71401"/>
    <w:rsid w:val="00F71587"/>
    <w:rsid w:val="00F71BEF"/>
    <w:rsid w:val="00F71D32"/>
    <w:rsid w:val="00F71D4B"/>
    <w:rsid w:val="00F72076"/>
    <w:rsid w:val="00F72103"/>
    <w:rsid w:val="00F7245B"/>
    <w:rsid w:val="00F7307B"/>
    <w:rsid w:val="00F73087"/>
    <w:rsid w:val="00F733E7"/>
    <w:rsid w:val="00F73462"/>
    <w:rsid w:val="00F73602"/>
    <w:rsid w:val="00F73998"/>
    <w:rsid w:val="00F73AC9"/>
    <w:rsid w:val="00F73CD8"/>
    <w:rsid w:val="00F73FA8"/>
    <w:rsid w:val="00F740A7"/>
    <w:rsid w:val="00F74477"/>
    <w:rsid w:val="00F7471D"/>
    <w:rsid w:val="00F74D77"/>
    <w:rsid w:val="00F75006"/>
    <w:rsid w:val="00F75B71"/>
    <w:rsid w:val="00F75BDC"/>
    <w:rsid w:val="00F75F82"/>
    <w:rsid w:val="00F75F8C"/>
    <w:rsid w:val="00F7616E"/>
    <w:rsid w:val="00F762C6"/>
    <w:rsid w:val="00F762FE"/>
    <w:rsid w:val="00F76666"/>
    <w:rsid w:val="00F766FC"/>
    <w:rsid w:val="00F7692D"/>
    <w:rsid w:val="00F76B68"/>
    <w:rsid w:val="00F76EFA"/>
    <w:rsid w:val="00F7703C"/>
    <w:rsid w:val="00F772AA"/>
    <w:rsid w:val="00F772B2"/>
    <w:rsid w:val="00F77391"/>
    <w:rsid w:val="00F77395"/>
    <w:rsid w:val="00F776DF"/>
    <w:rsid w:val="00F778CA"/>
    <w:rsid w:val="00F77BF2"/>
    <w:rsid w:val="00F77E6F"/>
    <w:rsid w:val="00F801C6"/>
    <w:rsid w:val="00F805F6"/>
    <w:rsid w:val="00F80ABF"/>
    <w:rsid w:val="00F80CC9"/>
    <w:rsid w:val="00F81352"/>
    <w:rsid w:val="00F81BC6"/>
    <w:rsid w:val="00F81EF9"/>
    <w:rsid w:val="00F82231"/>
    <w:rsid w:val="00F82288"/>
    <w:rsid w:val="00F822C9"/>
    <w:rsid w:val="00F825CE"/>
    <w:rsid w:val="00F825FE"/>
    <w:rsid w:val="00F82758"/>
    <w:rsid w:val="00F82AC3"/>
    <w:rsid w:val="00F838CF"/>
    <w:rsid w:val="00F839BD"/>
    <w:rsid w:val="00F83AAF"/>
    <w:rsid w:val="00F83AB2"/>
    <w:rsid w:val="00F83D97"/>
    <w:rsid w:val="00F8404B"/>
    <w:rsid w:val="00F84878"/>
    <w:rsid w:val="00F848A9"/>
    <w:rsid w:val="00F84910"/>
    <w:rsid w:val="00F84AE7"/>
    <w:rsid w:val="00F84B07"/>
    <w:rsid w:val="00F84E79"/>
    <w:rsid w:val="00F850B0"/>
    <w:rsid w:val="00F85372"/>
    <w:rsid w:val="00F85C76"/>
    <w:rsid w:val="00F85D80"/>
    <w:rsid w:val="00F85DEC"/>
    <w:rsid w:val="00F866E5"/>
    <w:rsid w:val="00F86787"/>
    <w:rsid w:val="00F86E7D"/>
    <w:rsid w:val="00F86F7B"/>
    <w:rsid w:val="00F870D9"/>
    <w:rsid w:val="00F87516"/>
    <w:rsid w:val="00F877DE"/>
    <w:rsid w:val="00F87CBE"/>
    <w:rsid w:val="00F87D1D"/>
    <w:rsid w:val="00F87E7E"/>
    <w:rsid w:val="00F87F3B"/>
    <w:rsid w:val="00F90378"/>
    <w:rsid w:val="00F90387"/>
    <w:rsid w:val="00F9042E"/>
    <w:rsid w:val="00F904A1"/>
    <w:rsid w:val="00F904BD"/>
    <w:rsid w:val="00F9081A"/>
    <w:rsid w:val="00F90963"/>
    <w:rsid w:val="00F90A4C"/>
    <w:rsid w:val="00F90A73"/>
    <w:rsid w:val="00F90F11"/>
    <w:rsid w:val="00F9120F"/>
    <w:rsid w:val="00F913CE"/>
    <w:rsid w:val="00F914C9"/>
    <w:rsid w:val="00F91798"/>
    <w:rsid w:val="00F9188B"/>
    <w:rsid w:val="00F91AE0"/>
    <w:rsid w:val="00F91CB2"/>
    <w:rsid w:val="00F91E34"/>
    <w:rsid w:val="00F9200B"/>
    <w:rsid w:val="00F92319"/>
    <w:rsid w:val="00F927F0"/>
    <w:rsid w:val="00F92855"/>
    <w:rsid w:val="00F92947"/>
    <w:rsid w:val="00F929D4"/>
    <w:rsid w:val="00F92A2D"/>
    <w:rsid w:val="00F92ED9"/>
    <w:rsid w:val="00F930A2"/>
    <w:rsid w:val="00F934B1"/>
    <w:rsid w:val="00F9357F"/>
    <w:rsid w:val="00F93954"/>
    <w:rsid w:val="00F93B72"/>
    <w:rsid w:val="00F94013"/>
    <w:rsid w:val="00F94271"/>
    <w:rsid w:val="00F9433D"/>
    <w:rsid w:val="00F9454E"/>
    <w:rsid w:val="00F9478F"/>
    <w:rsid w:val="00F948C6"/>
    <w:rsid w:val="00F94AF3"/>
    <w:rsid w:val="00F94D2E"/>
    <w:rsid w:val="00F94F2B"/>
    <w:rsid w:val="00F9505D"/>
    <w:rsid w:val="00F951D2"/>
    <w:rsid w:val="00F955F7"/>
    <w:rsid w:val="00F9563D"/>
    <w:rsid w:val="00F959DB"/>
    <w:rsid w:val="00F95C58"/>
    <w:rsid w:val="00F95FDD"/>
    <w:rsid w:val="00F96086"/>
    <w:rsid w:val="00F96146"/>
    <w:rsid w:val="00F965DB"/>
    <w:rsid w:val="00F96F4C"/>
    <w:rsid w:val="00F96F92"/>
    <w:rsid w:val="00F97542"/>
    <w:rsid w:val="00F9756D"/>
    <w:rsid w:val="00F97957"/>
    <w:rsid w:val="00F97BDF"/>
    <w:rsid w:val="00F97D57"/>
    <w:rsid w:val="00FA022D"/>
    <w:rsid w:val="00FA0329"/>
    <w:rsid w:val="00FA063D"/>
    <w:rsid w:val="00FA06BD"/>
    <w:rsid w:val="00FA085C"/>
    <w:rsid w:val="00FA0ACC"/>
    <w:rsid w:val="00FA0BC0"/>
    <w:rsid w:val="00FA0C41"/>
    <w:rsid w:val="00FA0C77"/>
    <w:rsid w:val="00FA12E6"/>
    <w:rsid w:val="00FA1470"/>
    <w:rsid w:val="00FA16DF"/>
    <w:rsid w:val="00FA1739"/>
    <w:rsid w:val="00FA1891"/>
    <w:rsid w:val="00FA1ABB"/>
    <w:rsid w:val="00FA2214"/>
    <w:rsid w:val="00FA248A"/>
    <w:rsid w:val="00FA2CB7"/>
    <w:rsid w:val="00FA2D94"/>
    <w:rsid w:val="00FA2DE2"/>
    <w:rsid w:val="00FA3466"/>
    <w:rsid w:val="00FA3679"/>
    <w:rsid w:val="00FA36C1"/>
    <w:rsid w:val="00FA3A38"/>
    <w:rsid w:val="00FA3B2C"/>
    <w:rsid w:val="00FA3DEF"/>
    <w:rsid w:val="00FA4201"/>
    <w:rsid w:val="00FA421A"/>
    <w:rsid w:val="00FA44CD"/>
    <w:rsid w:val="00FA452F"/>
    <w:rsid w:val="00FA4537"/>
    <w:rsid w:val="00FA494E"/>
    <w:rsid w:val="00FA4A96"/>
    <w:rsid w:val="00FA51A5"/>
    <w:rsid w:val="00FA52EB"/>
    <w:rsid w:val="00FA544C"/>
    <w:rsid w:val="00FA556A"/>
    <w:rsid w:val="00FA55AA"/>
    <w:rsid w:val="00FA583C"/>
    <w:rsid w:val="00FA5948"/>
    <w:rsid w:val="00FA5B6F"/>
    <w:rsid w:val="00FA5FEA"/>
    <w:rsid w:val="00FA60F1"/>
    <w:rsid w:val="00FA60F3"/>
    <w:rsid w:val="00FA6249"/>
    <w:rsid w:val="00FA6800"/>
    <w:rsid w:val="00FA6880"/>
    <w:rsid w:val="00FA6AE0"/>
    <w:rsid w:val="00FA6BC8"/>
    <w:rsid w:val="00FA6FD7"/>
    <w:rsid w:val="00FA77DA"/>
    <w:rsid w:val="00FA7C5C"/>
    <w:rsid w:val="00FA7CD2"/>
    <w:rsid w:val="00FA7D35"/>
    <w:rsid w:val="00FB04EF"/>
    <w:rsid w:val="00FB0562"/>
    <w:rsid w:val="00FB074B"/>
    <w:rsid w:val="00FB0B2D"/>
    <w:rsid w:val="00FB0C14"/>
    <w:rsid w:val="00FB0D65"/>
    <w:rsid w:val="00FB0E46"/>
    <w:rsid w:val="00FB0F2B"/>
    <w:rsid w:val="00FB1591"/>
    <w:rsid w:val="00FB183C"/>
    <w:rsid w:val="00FB1E58"/>
    <w:rsid w:val="00FB1E90"/>
    <w:rsid w:val="00FB1FCB"/>
    <w:rsid w:val="00FB1FFE"/>
    <w:rsid w:val="00FB25B1"/>
    <w:rsid w:val="00FB283E"/>
    <w:rsid w:val="00FB2CB8"/>
    <w:rsid w:val="00FB2E00"/>
    <w:rsid w:val="00FB3136"/>
    <w:rsid w:val="00FB328D"/>
    <w:rsid w:val="00FB3499"/>
    <w:rsid w:val="00FB35C3"/>
    <w:rsid w:val="00FB35F3"/>
    <w:rsid w:val="00FB3696"/>
    <w:rsid w:val="00FB3A6D"/>
    <w:rsid w:val="00FB3B2A"/>
    <w:rsid w:val="00FB3EF8"/>
    <w:rsid w:val="00FB476A"/>
    <w:rsid w:val="00FB48B9"/>
    <w:rsid w:val="00FB49F3"/>
    <w:rsid w:val="00FB4F42"/>
    <w:rsid w:val="00FB54D0"/>
    <w:rsid w:val="00FB586C"/>
    <w:rsid w:val="00FB5FA7"/>
    <w:rsid w:val="00FB5FF7"/>
    <w:rsid w:val="00FB67C9"/>
    <w:rsid w:val="00FB6CA5"/>
    <w:rsid w:val="00FB6EEF"/>
    <w:rsid w:val="00FB6F9B"/>
    <w:rsid w:val="00FB6FA5"/>
    <w:rsid w:val="00FC03B3"/>
    <w:rsid w:val="00FC03CF"/>
    <w:rsid w:val="00FC0C14"/>
    <w:rsid w:val="00FC1450"/>
    <w:rsid w:val="00FC151F"/>
    <w:rsid w:val="00FC1597"/>
    <w:rsid w:val="00FC1954"/>
    <w:rsid w:val="00FC1BAA"/>
    <w:rsid w:val="00FC1BF8"/>
    <w:rsid w:val="00FC1DC4"/>
    <w:rsid w:val="00FC1F0F"/>
    <w:rsid w:val="00FC2005"/>
    <w:rsid w:val="00FC2811"/>
    <w:rsid w:val="00FC2949"/>
    <w:rsid w:val="00FC2F83"/>
    <w:rsid w:val="00FC3535"/>
    <w:rsid w:val="00FC35E3"/>
    <w:rsid w:val="00FC36E5"/>
    <w:rsid w:val="00FC3AB1"/>
    <w:rsid w:val="00FC3D3D"/>
    <w:rsid w:val="00FC405A"/>
    <w:rsid w:val="00FC43CB"/>
    <w:rsid w:val="00FC44F5"/>
    <w:rsid w:val="00FC4805"/>
    <w:rsid w:val="00FC4AD5"/>
    <w:rsid w:val="00FC4B24"/>
    <w:rsid w:val="00FC4ED3"/>
    <w:rsid w:val="00FC5018"/>
    <w:rsid w:val="00FC5303"/>
    <w:rsid w:val="00FC5900"/>
    <w:rsid w:val="00FC5E13"/>
    <w:rsid w:val="00FC6017"/>
    <w:rsid w:val="00FC60CA"/>
    <w:rsid w:val="00FC6140"/>
    <w:rsid w:val="00FC61E1"/>
    <w:rsid w:val="00FC63CA"/>
    <w:rsid w:val="00FC650D"/>
    <w:rsid w:val="00FC66D6"/>
    <w:rsid w:val="00FC6839"/>
    <w:rsid w:val="00FC769E"/>
    <w:rsid w:val="00FC76AB"/>
    <w:rsid w:val="00FC7754"/>
    <w:rsid w:val="00FC7BD5"/>
    <w:rsid w:val="00FC7CBA"/>
    <w:rsid w:val="00FD01A0"/>
    <w:rsid w:val="00FD04BC"/>
    <w:rsid w:val="00FD067B"/>
    <w:rsid w:val="00FD0807"/>
    <w:rsid w:val="00FD0819"/>
    <w:rsid w:val="00FD08CF"/>
    <w:rsid w:val="00FD0911"/>
    <w:rsid w:val="00FD09D9"/>
    <w:rsid w:val="00FD0C11"/>
    <w:rsid w:val="00FD0C1F"/>
    <w:rsid w:val="00FD1665"/>
    <w:rsid w:val="00FD177D"/>
    <w:rsid w:val="00FD1967"/>
    <w:rsid w:val="00FD198A"/>
    <w:rsid w:val="00FD1AE8"/>
    <w:rsid w:val="00FD1D2F"/>
    <w:rsid w:val="00FD1DA8"/>
    <w:rsid w:val="00FD1E8D"/>
    <w:rsid w:val="00FD1F82"/>
    <w:rsid w:val="00FD2200"/>
    <w:rsid w:val="00FD2766"/>
    <w:rsid w:val="00FD2958"/>
    <w:rsid w:val="00FD2C8C"/>
    <w:rsid w:val="00FD2F4A"/>
    <w:rsid w:val="00FD3690"/>
    <w:rsid w:val="00FD385F"/>
    <w:rsid w:val="00FD39A8"/>
    <w:rsid w:val="00FD3AF4"/>
    <w:rsid w:val="00FD3CAF"/>
    <w:rsid w:val="00FD4109"/>
    <w:rsid w:val="00FD4135"/>
    <w:rsid w:val="00FD45A3"/>
    <w:rsid w:val="00FD463E"/>
    <w:rsid w:val="00FD4B5F"/>
    <w:rsid w:val="00FD4C62"/>
    <w:rsid w:val="00FD4DA6"/>
    <w:rsid w:val="00FD4EBA"/>
    <w:rsid w:val="00FD55E5"/>
    <w:rsid w:val="00FD572D"/>
    <w:rsid w:val="00FD5A8C"/>
    <w:rsid w:val="00FD5D9C"/>
    <w:rsid w:val="00FD5DEB"/>
    <w:rsid w:val="00FD62CC"/>
    <w:rsid w:val="00FD647D"/>
    <w:rsid w:val="00FD64A8"/>
    <w:rsid w:val="00FD64B5"/>
    <w:rsid w:val="00FD6542"/>
    <w:rsid w:val="00FD6558"/>
    <w:rsid w:val="00FD68D9"/>
    <w:rsid w:val="00FD6A41"/>
    <w:rsid w:val="00FD719C"/>
    <w:rsid w:val="00FD79CB"/>
    <w:rsid w:val="00FE053D"/>
    <w:rsid w:val="00FE0CE0"/>
    <w:rsid w:val="00FE0D06"/>
    <w:rsid w:val="00FE0D1A"/>
    <w:rsid w:val="00FE1174"/>
    <w:rsid w:val="00FE1337"/>
    <w:rsid w:val="00FE14E3"/>
    <w:rsid w:val="00FE1947"/>
    <w:rsid w:val="00FE1B6B"/>
    <w:rsid w:val="00FE1D4C"/>
    <w:rsid w:val="00FE1F50"/>
    <w:rsid w:val="00FE21D9"/>
    <w:rsid w:val="00FE2429"/>
    <w:rsid w:val="00FE26B6"/>
    <w:rsid w:val="00FE2766"/>
    <w:rsid w:val="00FE2879"/>
    <w:rsid w:val="00FE2880"/>
    <w:rsid w:val="00FE288B"/>
    <w:rsid w:val="00FE2B15"/>
    <w:rsid w:val="00FE2B8B"/>
    <w:rsid w:val="00FE3127"/>
    <w:rsid w:val="00FE366B"/>
    <w:rsid w:val="00FE39F0"/>
    <w:rsid w:val="00FE3C8A"/>
    <w:rsid w:val="00FE3F3D"/>
    <w:rsid w:val="00FE42BB"/>
    <w:rsid w:val="00FE4476"/>
    <w:rsid w:val="00FE4883"/>
    <w:rsid w:val="00FE49C2"/>
    <w:rsid w:val="00FE4BA4"/>
    <w:rsid w:val="00FE4DA6"/>
    <w:rsid w:val="00FE4E43"/>
    <w:rsid w:val="00FE5008"/>
    <w:rsid w:val="00FE505C"/>
    <w:rsid w:val="00FE52A2"/>
    <w:rsid w:val="00FE5431"/>
    <w:rsid w:val="00FE592D"/>
    <w:rsid w:val="00FE5B5E"/>
    <w:rsid w:val="00FE6E5C"/>
    <w:rsid w:val="00FE6E63"/>
    <w:rsid w:val="00FE70A2"/>
    <w:rsid w:val="00FE7133"/>
    <w:rsid w:val="00FE7717"/>
    <w:rsid w:val="00FE7F46"/>
    <w:rsid w:val="00FE7FBB"/>
    <w:rsid w:val="00FF006E"/>
    <w:rsid w:val="00FF08F1"/>
    <w:rsid w:val="00FF0E03"/>
    <w:rsid w:val="00FF0F7F"/>
    <w:rsid w:val="00FF169B"/>
    <w:rsid w:val="00FF17EC"/>
    <w:rsid w:val="00FF1989"/>
    <w:rsid w:val="00FF1CC1"/>
    <w:rsid w:val="00FF26BD"/>
    <w:rsid w:val="00FF288D"/>
    <w:rsid w:val="00FF2D06"/>
    <w:rsid w:val="00FF2E35"/>
    <w:rsid w:val="00FF3208"/>
    <w:rsid w:val="00FF32A6"/>
    <w:rsid w:val="00FF3531"/>
    <w:rsid w:val="00FF3BBE"/>
    <w:rsid w:val="00FF3BEC"/>
    <w:rsid w:val="00FF40C3"/>
    <w:rsid w:val="00FF484A"/>
    <w:rsid w:val="00FF4865"/>
    <w:rsid w:val="00FF500E"/>
    <w:rsid w:val="00FF52F5"/>
    <w:rsid w:val="00FF5363"/>
    <w:rsid w:val="00FF57BA"/>
    <w:rsid w:val="00FF5F06"/>
    <w:rsid w:val="00FF5FE3"/>
    <w:rsid w:val="00FF610F"/>
    <w:rsid w:val="00FF61AF"/>
    <w:rsid w:val="00FF6239"/>
    <w:rsid w:val="00FF661B"/>
    <w:rsid w:val="00FF6851"/>
    <w:rsid w:val="00FF6C91"/>
    <w:rsid w:val="00FF6D37"/>
    <w:rsid w:val="00FF768F"/>
    <w:rsid w:val="00FF7AA4"/>
    <w:rsid w:val="00FF7AE8"/>
    <w:rsid w:val="00FF7BD1"/>
    <w:rsid w:val="00FF7C56"/>
    <w:rsid w:val="00FF7D48"/>
    <w:rsid w:val="00FF7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F9B9C15"/>
  <w15:docId w15:val="{E38B8FB1-0820-4865-822D-3A57D9B01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C7195D"/>
    <w:pPr>
      <w:spacing w:after="200" w:line="276" w:lineRule="auto"/>
    </w:pPr>
    <w:rPr>
      <w:sz w:val="22"/>
      <w:szCs w:val="22"/>
      <w:lang w:eastAsia="en-US"/>
    </w:rPr>
  </w:style>
  <w:style w:type="paragraph" w:styleId="10">
    <w:name w:val="heading 1"/>
    <w:basedOn w:val="a1"/>
    <w:next w:val="a1"/>
    <w:link w:val="11"/>
    <w:uiPriority w:val="9"/>
    <w:qFormat/>
    <w:rsid w:val="003C4073"/>
    <w:pPr>
      <w:keepNext/>
      <w:keepLines/>
      <w:numPr>
        <w:numId w:val="18"/>
      </w:numPr>
      <w:autoSpaceDE w:val="0"/>
      <w:autoSpaceDN w:val="0"/>
      <w:adjustRightInd w:val="0"/>
      <w:spacing w:before="360" w:after="240" w:line="240" w:lineRule="auto"/>
      <w:jc w:val="center"/>
      <w:outlineLvl w:val="0"/>
    </w:pPr>
    <w:rPr>
      <w:rFonts w:ascii="Times New Roman" w:eastAsia="Times New Roman" w:hAnsi="Times New Roman"/>
      <w:b/>
      <w:bCs/>
      <w:iCs/>
      <w:smallCaps/>
      <w:spacing w:val="6"/>
      <w:kern w:val="32"/>
      <w:szCs w:val="24"/>
      <w:lang w:eastAsia="ru-RU"/>
    </w:rPr>
  </w:style>
  <w:style w:type="paragraph" w:styleId="20">
    <w:name w:val="heading 2"/>
    <w:basedOn w:val="a1"/>
    <w:next w:val="a1"/>
    <w:link w:val="21"/>
    <w:uiPriority w:val="9"/>
    <w:qFormat/>
    <w:rsid w:val="003C4073"/>
    <w:pPr>
      <w:numPr>
        <w:ilvl w:val="1"/>
        <w:numId w:val="18"/>
      </w:numPr>
      <w:autoSpaceDE w:val="0"/>
      <w:autoSpaceDN w:val="0"/>
      <w:adjustRightInd w:val="0"/>
      <w:spacing w:before="120" w:after="0" w:line="240" w:lineRule="auto"/>
      <w:jc w:val="both"/>
      <w:outlineLvl w:val="1"/>
    </w:pPr>
    <w:rPr>
      <w:rFonts w:ascii="Times New Roman" w:eastAsia="Times New Roman" w:hAnsi="Times New Roman"/>
      <w:bCs/>
      <w:szCs w:val="24"/>
      <w:lang w:eastAsia="ru-RU"/>
    </w:rPr>
  </w:style>
  <w:style w:type="paragraph" w:styleId="30">
    <w:name w:val="heading 3"/>
    <w:aliases w:val="Заголовок 3 Знак1,Заголовок 3 Знак Знак"/>
    <w:basedOn w:val="a1"/>
    <w:next w:val="a1"/>
    <w:link w:val="31"/>
    <w:qFormat/>
    <w:rsid w:val="003C4073"/>
    <w:pPr>
      <w:keepNext/>
      <w:numPr>
        <w:ilvl w:val="2"/>
        <w:numId w:val="18"/>
      </w:numPr>
      <w:autoSpaceDE w:val="0"/>
      <w:autoSpaceDN w:val="0"/>
      <w:adjustRightInd w:val="0"/>
      <w:spacing w:before="240" w:after="60" w:line="240" w:lineRule="auto"/>
      <w:jc w:val="both"/>
      <w:outlineLvl w:val="2"/>
    </w:pPr>
    <w:rPr>
      <w:rFonts w:ascii="Times New Roman" w:eastAsia="Times New Roman" w:hAnsi="Times New Roman"/>
      <w:bCs/>
      <w:iCs/>
      <w:szCs w:val="26"/>
      <w:lang w:eastAsia="ru-RU"/>
    </w:rPr>
  </w:style>
  <w:style w:type="paragraph" w:styleId="4">
    <w:name w:val="heading 4"/>
    <w:basedOn w:val="a1"/>
    <w:next w:val="a1"/>
    <w:link w:val="40"/>
    <w:unhideWhenUsed/>
    <w:qFormat/>
    <w:rsid w:val="003C4073"/>
    <w:pPr>
      <w:keepNext/>
      <w:keepLines/>
      <w:numPr>
        <w:ilvl w:val="3"/>
        <w:numId w:val="18"/>
      </w:numPr>
      <w:autoSpaceDE w:val="0"/>
      <w:autoSpaceDN w:val="0"/>
      <w:adjustRightInd w:val="0"/>
      <w:spacing w:before="40" w:after="0" w:line="240" w:lineRule="auto"/>
      <w:jc w:val="both"/>
      <w:outlineLvl w:val="3"/>
    </w:pPr>
    <w:rPr>
      <w:rFonts w:ascii="Cambria" w:eastAsia="Times New Roman" w:hAnsi="Cambria"/>
      <w:i/>
      <w:iCs/>
      <w:color w:val="365F91"/>
    </w:rPr>
  </w:style>
  <w:style w:type="paragraph" w:styleId="5">
    <w:name w:val="heading 5"/>
    <w:basedOn w:val="a1"/>
    <w:next w:val="a1"/>
    <w:link w:val="50"/>
    <w:unhideWhenUsed/>
    <w:qFormat/>
    <w:rsid w:val="003C4073"/>
    <w:pPr>
      <w:keepNext/>
      <w:keepLines/>
      <w:numPr>
        <w:ilvl w:val="4"/>
        <w:numId w:val="18"/>
      </w:numPr>
      <w:autoSpaceDE w:val="0"/>
      <w:autoSpaceDN w:val="0"/>
      <w:adjustRightInd w:val="0"/>
      <w:spacing w:before="40" w:after="0" w:line="240" w:lineRule="auto"/>
      <w:jc w:val="both"/>
      <w:outlineLvl w:val="4"/>
    </w:pPr>
    <w:rPr>
      <w:rFonts w:ascii="Cambria" w:eastAsia="Times New Roman" w:hAnsi="Cambria"/>
      <w:color w:val="365F91"/>
    </w:rPr>
  </w:style>
  <w:style w:type="paragraph" w:styleId="6">
    <w:name w:val="heading 6"/>
    <w:basedOn w:val="a1"/>
    <w:next w:val="a1"/>
    <w:link w:val="60"/>
    <w:unhideWhenUsed/>
    <w:qFormat/>
    <w:rsid w:val="003C4073"/>
    <w:pPr>
      <w:keepNext/>
      <w:keepLines/>
      <w:numPr>
        <w:ilvl w:val="5"/>
        <w:numId w:val="18"/>
      </w:numPr>
      <w:autoSpaceDE w:val="0"/>
      <w:autoSpaceDN w:val="0"/>
      <w:adjustRightInd w:val="0"/>
      <w:spacing w:before="40" w:after="0" w:line="240" w:lineRule="auto"/>
      <w:jc w:val="both"/>
      <w:outlineLvl w:val="5"/>
    </w:pPr>
    <w:rPr>
      <w:rFonts w:ascii="Cambria" w:eastAsia="Times New Roman" w:hAnsi="Cambria"/>
      <w:color w:val="243F60"/>
    </w:rPr>
  </w:style>
  <w:style w:type="paragraph" w:styleId="7">
    <w:name w:val="heading 7"/>
    <w:basedOn w:val="a1"/>
    <w:next w:val="a1"/>
    <w:link w:val="70"/>
    <w:uiPriority w:val="99"/>
    <w:unhideWhenUsed/>
    <w:qFormat/>
    <w:rsid w:val="003C4073"/>
    <w:pPr>
      <w:keepNext/>
      <w:keepLines/>
      <w:numPr>
        <w:ilvl w:val="6"/>
        <w:numId w:val="18"/>
      </w:numPr>
      <w:autoSpaceDE w:val="0"/>
      <w:autoSpaceDN w:val="0"/>
      <w:adjustRightInd w:val="0"/>
      <w:spacing w:before="40" w:after="0" w:line="240" w:lineRule="auto"/>
      <w:jc w:val="both"/>
      <w:outlineLvl w:val="6"/>
    </w:pPr>
    <w:rPr>
      <w:rFonts w:ascii="Cambria" w:eastAsia="Times New Roman" w:hAnsi="Cambria"/>
      <w:i/>
      <w:iCs/>
      <w:color w:val="243F60"/>
    </w:rPr>
  </w:style>
  <w:style w:type="paragraph" w:styleId="8">
    <w:name w:val="heading 8"/>
    <w:basedOn w:val="a1"/>
    <w:next w:val="a1"/>
    <w:link w:val="80"/>
    <w:uiPriority w:val="99"/>
    <w:unhideWhenUsed/>
    <w:qFormat/>
    <w:rsid w:val="003C4073"/>
    <w:pPr>
      <w:keepNext/>
      <w:keepLines/>
      <w:numPr>
        <w:ilvl w:val="7"/>
        <w:numId w:val="18"/>
      </w:numPr>
      <w:autoSpaceDE w:val="0"/>
      <w:autoSpaceDN w:val="0"/>
      <w:adjustRightInd w:val="0"/>
      <w:spacing w:before="40" w:after="0" w:line="240" w:lineRule="auto"/>
      <w:jc w:val="both"/>
      <w:outlineLvl w:val="7"/>
    </w:pPr>
    <w:rPr>
      <w:rFonts w:ascii="Cambria" w:eastAsia="Times New Roman" w:hAnsi="Cambria"/>
      <w:color w:val="272727"/>
      <w:sz w:val="21"/>
      <w:szCs w:val="21"/>
    </w:rPr>
  </w:style>
  <w:style w:type="paragraph" w:styleId="9">
    <w:name w:val="heading 9"/>
    <w:basedOn w:val="a1"/>
    <w:next w:val="a1"/>
    <w:link w:val="90"/>
    <w:uiPriority w:val="99"/>
    <w:unhideWhenUsed/>
    <w:qFormat/>
    <w:rsid w:val="003C4073"/>
    <w:pPr>
      <w:keepNext/>
      <w:keepLines/>
      <w:numPr>
        <w:ilvl w:val="8"/>
        <w:numId w:val="18"/>
      </w:numPr>
      <w:autoSpaceDE w:val="0"/>
      <w:autoSpaceDN w:val="0"/>
      <w:adjustRightInd w:val="0"/>
      <w:spacing w:before="40" w:after="0" w:line="240" w:lineRule="auto"/>
      <w:jc w:val="both"/>
      <w:outlineLvl w:val="8"/>
    </w:pPr>
    <w:rPr>
      <w:rFonts w:ascii="Cambria" w:eastAsia="Times New Roman" w:hAnsi="Cambria"/>
      <w:i/>
      <w:iCs/>
      <w:color w:val="272727"/>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link w:val="10"/>
    <w:uiPriority w:val="9"/>
    <w:rsid w:val="003C4073"/>
    <w:rPr>
      <w:rFonts w:ascii="Times New Roman" w:eastAsia="Times New Roman" w:hAnsi="Times New Roman"/>
      <w:b/>
      <w:bCs/>
      <w:iCs/>
      <w:smallCaps/>
      <w:spacing w:val="6"/>
      <w:kern w:val="32"/>
      <w:sz w:val="22"/>
      <w:szCs w:val="24"/>
    </w:rPr>
  </w:style>
  <w:style w:type="character" w:customStyle="1" w:styleId="21">
    <w:name w:val="Заголовок 2 Знак"/>
    <w:link w:val="20"/>
    <w:uiPriority w:val="9"/>
    <w:rsid w:val="003C4073"/>
    <w:rPr>
      <w:rFonts w:ascii="Times New Roman" w:eastAsia="Times New Roman" w:hAnsi="Times New Roman"/>
      <w:bCs/>
      <w:sz w:val="22"/>
      <w:szCs w:val="24"/>
    </w:rPr>
  </w:style>
  <w:style w:type="character" w:customStyle="1" w:styleId="31">
    <w:name w:val="Заголовок 3 Знак"/>
    <w:aliases w:val="Заголовок 3 Знак1 Знак,Заголовок 3 Знак Знак Знак"/>
    <w:link w:val="30"/>
    <w:rsid w:val="003C4073"/>
    <w:rPr>
      <w:rFonts w:ascii="Times New Roman" w:eastAsia="Times New Roman" w:hAnsi="Times New Roman"/>
      <w:bCs/>
      <w:iCs/>
      <w:sz w:val="22"/>
      <w:szCs w:val="26"/>
    </w:rPr>
  </w:style>
  <w:style w:type="character" w:customStyle="1" w:styleId="40">
    <w:name w:val="Заголовок 4 Знак"/>
    <w:link w:val="4"/>
    <w:rsid w:val="003C4073"/>
    <w:rPr>
      <w:rFonts w:ascii="Cambria" w:eastAsia="Times New Roman" w:hAnsi="Cambria"/>
      <w:i/>
      <w:iCs/>
      <w:color w:val="365F91"/>
      <w:sz w:val="22"/>
      <w:szCs w:val="22"/>
      <w:lang w:eastAsia="en-US"/>
    </w:rPr>
  </w:style>
  <w:style w:type="character" w:customStyle="1" w:styleId="50">
    <w:name w:val="Заголовок 5 Знак"/>
    <w:link w:val="5"/>
    <w:rsid w:val="003C4073"/>
    <w:rPr>
      <w:rFonts w:ascii="Cambria" w:eastAsia="Times New Roman" w:hAnsi="Cambria"/>
      <w:color w:val="365F91"/>
      <w:sz w:val="22"/>
      <w:szCs w:val="22"/>
      <w:lang w:eastAsia="en-US"/>
    </w:rPr>
  </w:style>
  <w:style w:type="character" w:customStyle="1" w:styleId="60">
    <w:name w:val="Заголовок 6 Знак"/>
    <w:link w:val="6"/>
    <w:rsid w:val="003C4073"/>
    <w:rPr>
      <w:rFonts w:ascii="Cambria" w:eastAsia="Times New Roman" w:hAnsi="Cambria"/>
      <w:color w:val="243F60"/>
      <w:sz w:val="22"/>
      <w:szCs w:val="22"/>
      <w:lang w:eastAsia="en-US"/>
    </w:rPr>
  </w:style>
  <w:style w:type="character" w:customStyle="1" w:styleId="70">
    <w:name w:val="Заголовок 7 Знак"/>
    <w:link w:val="7"/>
    <w:uiPriority w:val="99"/>
    <w:rsid w:val="003C4073"/>
    <w:rPr>
      <w:rFonts w:ascii="Cambria" w:eastAsia="Times New Roman" w:hAnsi="Cambria"/>
      <w:i/>
      <w:iCs/>
      <w:color w:val="243F60"/>
      <w:sz w:val="22"/>
      <w:szCs w:val="22"/>
      <w:lang w:eastAsia="en-US"/>
    </w:rPr>
  </w:style>
  <w:style w:type="character" w:customStyle="1" w:styleId="80">
    <w:name w:val="Заголовок 8 Знак"/>
    <w:link w:val="8"/>
    <w:uiPriority w:val="99"/>
    <w:rsid w:val="003C4073"/>
    <w:rPr>
      <w:rFonts w:ascii="Cambria" w:eastAsia="Times New Roman" w:hAnsi="Cambria"/>
      <w:color w:val="272727"/>
      <w:sz w:val="21"/>
      <w:szCs w:val="21"/>
      <w:lang w:eastAsia="en-US"/>
    </w:rPr>
  </w:style>
  <w:style w:type="character" w:customStyle="1" w:styleId="90">
    <w:name w:val="Заголовок 9 Знак"/>
    <w:link w:val="9"/>
    <w:uiPriority w:val="99"/>
    <w:rsid w:val="003C4073"/>
    <w:rPr>
      <w:rFonts w:ascii="Cambria" w:eastAsia="Times New Roman" w:hAnsi="Cambria"/>
      <w:i/>
      <w:iCs/>
      <w:color w:val="272727"/>
      <w:sz w:val="21"/>
      <w:szCs w:val="21"/>
      <w:lang w:eastAsia="en-US"/>
    </w:rPr>
  </w:style>
  <w:style w:type="character" w:styleId="a5">
    <w:name w:val="annotation reference"/>
    <w:unhideWhenUsed/>
    <w:rsid w:val="00B43B66"/>
    <w:rPr>
      <w:sz w:val="16"/>
      <w:szCs w:val="16"/>
    </w:rPr>
  </w:style>
  <w:style w:type="paragraph" w:styleId="a6">
    <w:name w:val="annotation text"/>
    <w:basedOn w:val="a1"/>
    <w:link w:val="a7"/>
    <w:uiPriority w:val="99"/>
    <w:unhideWhenUsed/>
    <w:rsid w:val="00B43B66"/>
    <w:pPr>
      <w:spacing w:line="240" w:lineRule="auto"/>
    </w:pPr>
    <w:rPr>
      <w:sz w:val="20"/>
      <w:szCs w:val="20"/>
    </w:rPr>
  </w:style>
  <w:style w:type="character" w:customStyle="1" w:styleId="a7">
    <w:name w:val="Текст примечания Знак"/>
    <w:link w:val="a6"/>
    <w:uiPriority w:val="99"/>
    <w:rsid w:val="00B43B66"/>
    <w:rPr>
      <w:sz w:val="20"/>
      <w:szCs w:val="20"/>
    </w:rPr>
  </w:style>
  <w:style w:type="paragraph" w:styleId="a8">
    <w:name w:val="Balloon Text"/>
    <w:basedOn w:val="a1"/>
    <w:link w:val="a9"/>
    <w:uiPriority w:val="99"/>
    <w:semiHidden/>
    <w:unhideWhenUsed/>
    <w:rsid w:val="00B43B66"/>
    <w:pPr>
      <w:spacing w:after="0" w:line="240" w:lineRule="auto"/>
    </w:pPr>
    <w:rPr>
      <w:rFonts w:ascii="Tahoma" w:hAnsi="Tahoma"/>
      <w:sz w:val="16"/>
      <w:szCs w:val="16"/>
    </w:rPr>
  </w:style>
  <w:style w:type="character" w:customStyle="1" w:styleId="a9">
    <w:name w:val="Текст выноски Знак"/>
    <w:link w:val="a8"/>
    <w:uiPriority w:val="99"/>
    <w:semiHidden/>
    <w:rsid w:val="00B43B66"/>
    <w:rPr>
      <w:rFonts w:ascii="Tahoma" w:hAnsi="Tahoma" w:cs="Tahoma"/>
      <w:sz w:val="16"/>
      <w:szCs w:val="16"/>
    </w:rPr>
  </w:style>
  <w:style w:type="paragraph" w:styleId="aa">
    <w:name w:val="annotation subject"/>
    <w:basedOn w:val="a6"/>
    <w:next w:val="a6"/>
    <w:link w:val="ab"/>
    <w:uiPriority w:val="99"/>
    <w:semiHidden/>
    <w:unhideWhenUsed/>
    <w:rsid w:val="00B43B66"/>
    <w:rPr>
      <w:b/>
      <w:bCs/>
    </w:rPr>
  </w:style>
  <w:style w:type="character" w:customStyle="1" w:styleId="ab">
    <w:name w:val="Тема примечания Знак"/>
    <w:link w:val="aa"/>
    <w:uiPriority w:val="99"/>
    <w:semiHidden/>
    <w:rsid w:val="00B43B66"/>
    <w:rPr>
      <w:b/>
      <w:bCs/>
      <w:sz w:val="20"/>
      <w:szCs w:val="20"/>
    </w:rPr>
  </w:style>
  <w:style w:type="paragraph" w:styleId="ac">
    <w:name w:val="List Paragraph"/>
    <w:aliases w:val="ПАРАГРАФ,Bullet List,FooterText,numbered,Table-Normal,RSHB_Table-Normal,Paragraphe de liste1,lp1,SL_Абзац списка,Нумерованый список,СпБезКС,Heading Bullet,UL,Абзац маркированнный,Предусловия,Шаг процесса,1,Bullet Number,Индексы,Num Bullet 1"/>
    <w:basedOn w:val="a1"/>
    <w:link w:val="ad"/>
    <w:uiPriority w:val="34"/>
    <w:qFormat/>
    <w:rsid w:val="00B43B66"/>
    <w:pPr>
      <w:ind w:left="720"/>
      <w:contextualSpacing/>
    </w:pPr>
  </w:style>
  <w:style w:type="character" w:customStyle="1" w:styleId="ad">
    <w:name w:val="Абзац списка Знак"/>
    <w:aliases w:val="ПАРАГРАФ Знак,Bullet List Знак,FooterText Знак,numbered Знак,Table-Normal Знак,RSHB_Table-Normal Знак,Paragraphe de liste1 Знак,lp1 Знак,SL_Абзац списка Знак,Нумерованый список Знак,СпБезКС Знак,Heading Bullet Знак,UL Знак,1 Знак"/>
    <w:link w:val="ac"/>
    <w:uiPriority w:val="34"/>
    <w:rsid w:val="00851E74"/>
    <w:rPr>
      <w:sz w:val="22"/>
      <w:szCs w:val="22"/>
      <w:lang w:eastAsia="en-US"/>
    </w:rPr>
  </w:style>
  <w:style w:type="character" w:styleId="ae">
    <w:name w:val="Placeholder Text"/>
    <w:uiPriority w:val="99"/>
    <w:semiHidden/>
    <w:rsid w:val="00B43B66"/>
    <w:rPr>
      <w:color w:val="808080"/>
    </w:rPr>
  </w:style>
  <w:style w:type="character" w:styleId="af">
    <w:name w:val="Hyperlink"/>
    <w:uiPriority w:val="99"/>
    <w:unhideWhenUsed/>
    <w:rsid w:val="00B43B66"/>
    <w:rPr>
      <w:color w:val="0000FF"/>
      <w:u w:val="single"/>
    </w:rPr>
  </w:style>
  <w:style w:type="table" w:styleId="af0">
    <w:name w:val="Table Grid"/>
    <w:basedOn w:val="a3"/>
    <w:uiPriority w:val="59"/>
    <w:rsid w:val="00B43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rsid w:val="00B43B66"/>
    <w:pPr>
      <w:widowControl w:val="0"/>
      <w:autoSpaceDE w:val="0"/>
      <w:autoSpaceDN w:val="0"/>
      <w:adjustRightInd w:val="0"/>
    </w:pPr>
    <w:rPr>
      <w:rFonts w:ascii="Arial" w:eastAsia="Times New Roman" w:hAnsi="Arial" w:cs="Arial"/>
    </w:rPr>
  </w:style>
  <w:style w:type="paragraph" w:styleId="af1">
    <w:name w:val="Revision"/>
    <w:hidden/>
    <w:uiPriority w:val="99"/>
    <w:semiHidden/>
    <w:rsid w:val="00B43B66"/>
    <w:rPr>
      <w:sz w:val="22"/>
      <w:szCs w:val="22"/>
      <w:lang w:eastAsia="en-US"/>
    </w:rPr>
  </w:style>
  <w:style w:type="paragraph" w:styleId="af2">
    <w:name w:val="footnote text"/>
    <w:basedOn w:val="a1"/>
    <w:link w:val="af3"/>
    <w:unhideWhenUsed/>
    <w:rsid w:val="00B43B66"/>
    <w:pPr>
      <w:spacing w:after="0" w:line="240" w:lineRule="auto"/>
    </w:pPr>
    <w:rPr>
      <w:rFonts w:ascii="Verdana" w:hAnsi="Verdana"/>
      <w:sz w:val="20"/>
      <w:szCs w:val="20"/>
    </w:rPr>
  </w:style>
  <w:style w:type="character" w:customStyle="1" w:styleId="af3">
    <w:name w:val="Текст сноски Знак"/>
    <w:link w:val="af2"/>
    <w:rsid w:val="00B43B66"/>
    <w:rPr>
      <w:rFonts w:ascii="Verdana" w:hAnsi="Verdana"/>
      <w:sz w:val="20"/>
      <w:szCs w:val="20"/>
    </w:rPr>
  </w:style>
  <w:style w:type="character" w:styleId="af4">
    <w:name w:val="footnote reference"/>
    <w:unhideWhenUsed/>
    <w:rsid w:val="00B43B66"/>
    <w:rPr>
      <w:vertAlign w:val="superscript"/>
    </w:rPr>
  </w:style>
  <w:style w:type="paragraph" w:styleId="af5">
    <w:name w:val="Body Text"/>
    <w:basedOn w:val="a1"/>
    <w:link w:val="af6"/>
    <w:uiPriority w:val="99"/>
    <w:unhideWhenUsed/>
    <w:rsid w:val="00B43B66"/>
    <w:pPr>
      <w:spacing w:after="0" w:line="240" w:lineRule="auto"/>
      <w:jc w:val="both"/>
    </w:pPr>
    <w:rPr>
      <w:rFonts w:ascii="Times New Roman" w:eastAsia="Times New Roman" w:hAnsi="Times New Roman"/>
      <w:sz w:val="24"/>
      <w:szCs w:val="24"/>
      <w:lang w:eastAsia="ru-RU"/>
    </w:rPr>
  </w:style>
  <w:style w:type="character" w:customStyle="1" w:styleId="af6">
    <w:name w:val="Основной текст Знак"/>
    <w:link w:val="af5"/>
    <w:uiPriority w:val="99"/>
    <w:rsid w:val="00B43B66"/>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43B66"/>
    <w:pPr>
      <w:autoSpaceDE w:val="0"/>
      <w:autoSpaceDN w:val="0"/>
      <w:adjustRightInd w:val="0"/>
    </w:pPr>
    <w:rPr>
      <w:rFonts w:ascii="Courier New" w:hAnsi="Courier New" w:cs="Courier New"/>
      <w:lang w:eastAsia="en-US"/>
    </w:rPr>
  </w:style>
  <w:style w:type="paragraph" w:customStyle="1" w:styleId="12">
    <w:name w:val="Обычный1"/>
    <w:uiPriority w:val="99"/>
    <w:rsid w:val="00B43B66"/>
    <w:pPr>
      <w:widowControl w:val="0"/>
      <w:spacing w:line="280" w:lineRule="auto"/>
      <w:ind w:firstLine="280"/>
      <w:jc w:val="both"/>
    </w:pPr>
    <w:rPr>
      <w:rFonts w:ascii="Times New Roman" w:eastAsia="Times New Roman" w:hAnsi="Times New Roman"/>
      <w:snapToGrid w:val="0"/>
    </w:rPr>
  </w:style>
  <w:style w:type="character" w:customStyle="1" w:styleId="FontStyle195">
    <w:name w:val="Font Style195"/>
    <w:uiPriority w:val="99"/>
    <w:rsid w:val="00B43B66"/>
    <w:rPr>
      <w:rFonts w:ascii="Calibri" w:hAnsi="Calibri" w:cs="Calibri"/>
      <w:sz w:val="18"/>
      <w:szCs w:val="18"/>
    </w:rPr>
  </w:style>
  <w:style w:type="character" w:styleId="af7">
    <w:name w:val="Intense Emphasis"/>
    <w:uiPriority w:val="21"/>
    <w:qFormat/>
    <w:rsid w:val="00B43B66"/>
    <w:rPr>
      <w:b/>
      <w:bCs/>
      <w:i/>
      <w:iCs/>
      <w:color w:val="4F81BD"/>
    </w:rPr>
  </w:style>
  <w:style w:type="paragraph" w:customStyle="1" w:styleId="Default">
    <w:name w:val="Default"/>
    <w:uiPriority w:val="99"/>
    <w:rsid w:val="00B43B66"/>
    <w:pPr>
      <w:autoSpaceDE w:val="0"/>
      <w:autoSpaceDN w:val="0"/>
      <w:adjustRightInd w:val="0"/>
    </w:pPr>
    <w:rPr>
      <w:rFonts w:ascii="Times New Roman" w:hAnsi="Times New Roman"/>
      <w:color w:val="000000"/>
      <w:sz w:val="24"/>
      <w:szCs w:val="24"/>
      <w:lang w:eastAsia="en-US"/>
    </w:rPr>
  </w:style>
  <w:style w:type="character" w:styleId="af8">
    <w:name w:val="Emphasis"/>
    <w:uiPriority w:val="20"/>
    <w:qFormat/>
    <w:rsid w:val="00B43B66"/>
    <w:rPr>
      <w:i/>
      <w:iCs/>
    </w:rPr>
  </w:style>
  <w:style w:type="character" w:styleId="af9">
    <w:name w:val="FollowedHyperlink"/>
    <w:uiPriority w:val="99"/>
    <w:semiHidden/>
    <w:unhideWhenUsed/>
    <w:rsid w:val="007411F1"/>
    <w:rPr>
      <w:color w:val="800080"/>
      <w:u w:val="single"/>
    </w:rPr>
  </w:style>
  <w:style w:type="paragraph" w:styleId="afa">
    <w:name w:val="header"/>
    <w:basedOn w:val="a1"/>
    <w:link w:val="afb"/>
    <w:uiPriority w:val="99"/>
    <w:unhideWhenUsed/>
    <w:rsid w:val="0095677F"/>
    <w:pPr>
      <w:tabs>
        <w:tab w:val="center" w:pos="4677"/>
        <w:tab w:val="right" w:pos="9355"/>
      </w:tabs>
      <w:spacing w:after="0" w:line="240" w:lineRule="auto"/>
    </w:pPr>
  </w:style>
  <w:style w:type="character" w:customStyle="1" w:styleId="afb">
    <w:name w:val="Верхний колонтитул Знак"/>
    <w:basedOn w:val="a2"/>
    <w:link w:val="afa"/>
    <w:uiPriority w:val="99"/>
    <w:rsid w:val="0095677F"/>
  </w:style>
  <w:style w:type="paragraph" w:styleId="afc">
    <w:name w:val="footer"/>
    <w:basedOn w:val="a1"/>
    <w:link w:val="afd"/>
    <w:uiPriority w:val="99"/>
    <w:unhideWhenUsed/>
    <w:rsid w:val="0095677F"/>
    <w:pPr>
      <w:tabs>
        <w:tab w:val="center" w:pos="4677"/>
        <w:tab w:val="right" w:pos="9355"/>
      </w:tabs>
      <w:spacing w:after="0" w:line="240" w:lineRule="auto"/>
    </w:pPr>
  </w:style>
  <w:style w:type="character" w:customStyle="1" w:styleId="afd">
    <w:name w:val="Нижний колонтитул Знак"/>
    <w:basedOn w:val="a2"/>
    <w:link w:val="afc"/>
    <w:uiPriority w:val="99"/>
    <w:rsid w:val="0095677F"/>
  </w:style>
  <w:style w:type="paragraph" w:styleId="afe">
    <w:name w:val="endnote text"/>
    <w:basedOn w:val="a1"/>
    <w:link w:val="aff"/>
    <w:uiPriority w:val="99"/>
    <w:semiHidden/>
    <w:unhideWhenUsed/>
    <w:rsid w:val="00195C7A"/>
    <w:pPr>
      <w:spacing w:after="0" w:line="240" w:lineRule="auto"/>
    </w:pPr>
    <w:rPr>
      <w:sz w:val="20"/>
      <w:szCs w:val="20"/>
    </w:rPr>
  </w:style>
  <w:style w:type="character" w:customStyle="1" w:styleId="aff">
    <w:name w:val="Текст концевой сноски Знак"/>
    <w:link w:val="afe"/>
    <w:uiPriority w:val="99"/>
    <w:semiHidden/>
    <w:rsid w:val="00195C7A"/>
    <w:rPr>
      <w:sz w:val="20"/>
      <w:szCs w:val="20"/>
    </w:rPr>
  </w:style>
  <w:style w:type="character" w:styleId="aff0">
    <w:name w:val="endnote reference"/>
    <w:uiPriority w:val="99"/>
    <w:semiHidden/>
    <w:unhideWhenUsed/>
    <w:rsid w:val="00195C7A"/>
    <w:rPr>
      <w:vertAlign w:val="superscript"/>
    </w:rPr>
  </w:style>
  <w:style w:type="paragraph" w:styleId="aff1">
    <w:name w:val="Plain Text"/>
    <w:basedOn w:val="a1"/>
    <w:link w:val="aff2"/>
    <w:uiPriority w:val="99"/>
    <w:unhideWhenUsed/>
    <w:rsid w:val="00FD1D2F"/>
    <w:pPr>
      <w:spacing w:after="0" w:line="240" w:lineRule="auto"/>
    </w:pPr>
    <w:rPr>
      <w:sz w:val="20"/>
      <w:szCs w:val="20"/>
      <w:lang w:eastAsia="ru-RU"/>
    </w:rPr>
  </w:style>
  <w:style w:type="character" w:customStyle="1" w:styleId="aff2">
    <w:name w:val="Текст Знак"/>
    <w:link w:val="aff1"/>
    <w:uiPriority w:val="99"/>
    <w:rsid w:val="00FD1D2F"/>
    <w:rPr>
      <w:rFonts w:ascii="Calibri" w:hAnsi="Calibri" w:cs="Times New Roman"/>
      <w:lang w:eastAsia="ru-RU"/>
    </w:rPr>
  </w:style>
  <w:style w:type="paragraph" w:customStyle="1" w:styleId="aff3">
    <w:name w:val="Таблица"/>
    <w:basedOn w:val="22"/>
    <w:uiPriority w:val="99"/>
    <w:rsid w:val="00851E74"/>
    <w:pPr>
      <w:suppressAutoHyphens/>
      <w:autoSpaceDE w:val="0"/>
      <w:autoSpaceDN w:val="0"/>
      <w:adjustRightInd w:val="0"/>
      <w:spacing w:before="40" w:after="40" w:line="240" w:lineRule="auto"/>
      <w:ind w:left="57" w:right="57"/>
    </w:pPr>
    <w:rPr>
      <w:rFonts w:ascii="Times New Roman" w:eastAsia="Times New Roman" w:hAnsi="Times New Roman"/>
      <w:iCs/>
      <w:color w:val="000000"/>
      <w:sz w:val="18"/>
      <w:szCs w:val="18"/>
      <w:lang w:eastAsia="ru-RU"/>
    </w:rPr>
  </w:style>
  <w:style w:type="paragraph" w:styleId="22">
    <w:name w:val="Body Text 2"/>
    <w:basedOn w:val="a1"/>
    <w:link w:val="23"/>
    <w:uiPriority w:val="99"/>
    <w:semiHidden/>
    <w:unhideWhenUsed/>
    <w:rsid w:val="00851E74"/>
    <w:pPr>
      <w:spacing w:after="120" w:line="480" w:lineRule="auto"/>
    </w:pPr>
  </w:style>
  <w:style w:type="character" w:customStyle="1" w:styleId="23">
    <w:name w:val="Основной текст 2 Знак"/>
    <w:link w:val="22"/>
    <w:uiPriority w:val="99"/>
    <w:semiHidden/>
    <w:rsid w:val="00851E74"/>
    <w:rPr>
      <w:sz w:val="22"/>
      <w:szCs w:val="22"/>
      <w:lang w:eastAsia="en-US"/>
    </w:rPr>
  </w:style>
  <w:style w:type="paragraph" w:customStyle="1" w:styleId="-0">
    <w:name w:val="Таб-заг"/>
    <w:basedOn w:val="a1"/>
    <w:uiPriority w:val="99"/>
    <w:qFormat/>
    <w:rsid w:val="00851E74"/>
    <w:pPr>
      <w:keepNext/>
      <w:keepLines/>
      <w:widowControl w:val="0"/>
      <w:tabs>
        <w:tab w:val="left" w:pos="708"/>
      </w:tabs>
      <w:autoSpaceDE w:val="0"/>
      <w:autoSpaceDN w:val="0"/>
      <w:adjustRightInd w:val="0"/>
      <w:spacing w:before="120" w:after="120" w:line="240" w:lineRule="auto"/>
      <w:ind w:left="-28" w:firstLine="28"/>
      <w:jc w:val="center"/>
    </w:pPr>
    <w:rPr>
      <w:rFonts w:ascii="Times New Roman" w:eastAsia="Times New Roman" w:hAnsi="Times New Roman"/>
      <w:color w:val="FFFFFF"/>
      <w:sz w:val="18"/>
      <w:szCs w:val="18"/>
      <w:lang w:eastAsia="ru-RU"/>
    </w:rPr>
  </w:style>
  <w:style w:type="paragraph" w:customStyle="1" w:styleId="-">
    <w:name w:val="Таб-марк"/>
    <w:basedOn w:val="aff3"/>
    <w:uiPriority w:val="99"/>
    <w:qFormat/>
    <w:rsid w:val="00851E74"/>
    <w:pPr>
      <w:numPr>
        <w:numId w:val="14"/>
      </w:numPr>
      <w:tabs>
        <w:tab w:val="num" w:pos="360"/>
      </w:tabs>
      <w:ind w:left="57" w:firstLine="0"/>
      <w:contextualSpacing/>
    </w:pPr>
  </w:style>
  <w:style w:type="paragraph" w:styleId="aff4">
    <w:name w:val="caption"/>
    <w:basedOn w:val="a1"/>
    <w:next w:val="a1"/>
    <w:uiPriority w:val="35"/>
    <w:unhideWhenUsed/>
    <w:qFormat/>
    <w:rsid w:val="00851E74"/>
    <w:pPr>
      <w:autoSpaceDE w:val="0"/>
      <w:autoSpaceDN w:val="0"/>
      <w:adjustRightInd w:val="0"/>
      <w:spacing w:before="60" w:line="240" w:lineRule="auto"/>
      <w:ind w:firstLine="709"/>
      <w:jc w:val="right"/>
    </w:pPr>
    <w:rPr>
      <w:rFonts w:ascii="Times New Roman" w:hAnsi="Times New Roman"/>
      <w:i/>
      <w:iCs/>
      <w:szCs w:val="18"/>
    </w:rPr>
  </w:style>
  <w:style w:type="paragraph" w:customStyle="1" w:styleId="-1">
    <w:name w:val="Таб-столбец"/>
    <w:qFormat/>
    <w:rsid w:val="000921D7"/>
    <w:rPr>
      <w:rFonts w:ascii="Times New Roman" w:eastAsia="Times New Roman" w:hAnsi="Times New Roman"/>
      <w:b/>
      <w:bCs/>
      <w:color w:val="FFFFFF"/>
      <w:sz w:val="18"/>
      <w:szCs w:val="18"/>
    </w:rPr>
  </w:style>
  <w:style w:type="paragraph" w:customStyle="1" w:styleId="a">
    <w:name w:val="Список с буллитом"/>
    <w:basedOn w:val="a1"/>
    <w:uiPriority w:val="99"/>
    <w:qFormat/>
    <w:rsid w:val="008B4625"/>
    <w:pPr>
      <w:widowControl w:val="0"/>
      <w:numPr>
        <w:numId w:val="16"/>
      </w:numPr>
      <w:spacing w:after="0" w:line="360" w:lineRule="auto"/>
      <w:contextualSpacing/>
      <w:jc w:val="both"/>
    </w:pPr>
    <w:rPr>
      <w:rFonts w:ascii="Verdana" w:hAnsi="Verdana"/>
    </w:rPr>
  </w:style>
  <w:style w:type="paragraph" w:customStyle="1" w:styleId="-2">
    <w:name w:val="ЗАГ-таб"/>
    <w:basedOn w:val="32"/>
    <w:uiPriority w:val="99"/>
    <w:qFormat/>
    <w:rsid w:val="003C4073"/>
    <w:pPr>
      <w:autoSpaceDE w:val="0"/>
      <w:autoSpaceDN w:val="0"/>
      <w:adjustRightInd w:val="0"/>
      <w:spacing w:before="120" w:line="240" w:lineRule="auto"/>
      <w:ind w:firstLine="709"/>
      <w:jc w:val="center"/>
    </w:pPr>
    <w:rPr>
      <w:rFonts w:ascii="Arial Narrow" w:eastAsia="Cambria" w:hAnsi="Arial Narrow"/>
      <w:b/>
      <w:bCs/>
      <w:sz w:val="22"/>
      <w:szCs w:val="22"/>
    </w:rPr>
  </w:style>
  <w:style w:type="paragraph" w:styleId="32">
    <w:name w:val="Body Text 3"/>
    <w:basedOn w:val="a1"/>
    <w:link w:val="33"/>
    <w:uiPriority w:val="99"/>
    <w:semiHidden/>
    <w:unhideWhenUsed/>
    <w:rsid w:val="003C4073"/>
    <w:pPr>
      <w:spacing w:after="120"/>
    </w:pPr>
    <w:rPr>
      <w:sz w:val="16"/>
      <w:szCs w:val="16"/>
    </w:rPr>
  </w:style>
  <w:style w:type="character" w:customStyle="1" w:styleId="33">
    <w:name w:val="Основной текст 3 Знак"/>
    <w:link w:val="32"/>
    <w:uiPriority w:val="99"/>
    <w:semiHidden/>
    <w:rsid w:val="003C4073"/>
    <w:rPr>
      <w:sz w:val="16"/>
      <w:szCs w:val="16"/>
      <w:lang w:eastAsia="en-US"/>
    </w:rPr>
  </w:style>
  <w:style w:type="paragraph" w:styleId="aff5">
    <w:name w:val="Subtitle"/>
    <w:basedOn w:val="a1"/>
    <w:link w:val="aff6"/>
    <w:uiPriority w:val="99"/>
    <w:qFormat/>
    <w:rsid w:val="00DA0B68"/>
    <w:pPr>
      <w:keepNext/>
      <w:keepLines/>
      <w:widowControl w:val="0"/>
      <w:tabs>
        <w:tab w:val="left" w:pos="0"/>
      </w:tabs>
      <w:autoSpaceDE w:val="0"/>
      <w:autoSpaceDN w:val="0"/>
      <w:adjustRightInd w:val="0"/>
      <w:spacing w:before="120" w:after="120" w:line="240" w:lineRule="auto"/>
      <w:ind w:firstLine="709"/>
      <w:outlineLvl w:val="1"/>
    </w:pPr>
    <w:rPr>
      <w:rFonts w:ascii="Times New Roman" w:eastAsia="Times New Roman" w:hAnsi="Times New Roman"/>
      <w:b/>
      <w:i/>
      <w:szCs w:val="24"/>
      <w:lang w:eastAsia="ru-RU"/>
    </w:rPr>
  </w:style>
  <w:style w:type="character" w:customStyle="1" w:styleId="aff6">
    <w:name w:val="Подзаголовок Знак"/>
    <w:link w:val="aff5"/>
    <w:uiPriority w:val="99"/>
    <w:rsid w:val="00DA0B68"/>
    <w:rPr>
      <w:rFonts w:ascii="Times New Roman" w:eastAsia="Times New Roman" w:hAnsi="Times New Roman"/>
      <w:b/>
      <w:i/>
      <w:sz w:val="22"/>
      <w:szCs w:val="24"/>
    </w:rPr>
  </w:style>
  <w:style w:type="paragraph" w:customStyle="1" w:styleId="aff7">
    <w:name w:val="Название приложения"/>
    <w:basedOn w:val="10"/>
    <w:uiPriority w:val="99"/>
    <w:qFormat/>
    <w:rsid w:val="00DA0B68"/>
    <w:pPr>
      <w:numPr>
        <w:numId w:val="0"/>
      </w:numPr>
    </w:pPr>
  </w:style>
  <w:style w:type="table" w:customStyle="1" w:styleId="-311">
    <w:name w:val="Список-таблица 3 — акцент 11"/>
    <w:basedOn w:val="a3"/>
    <w:uiPriority w:val="48"/>
    <w:rsid w:val="00F9200B"/>
    <w:rPr>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paragraph" w:customStyle="1" w:styleId="1">
    <w:name w:val="Раздел 1"/>
    <w:basedOn w:val="ac"/>
    <w:uiPriority w:val="99"/>
    <w:qFormat/>
    <w:rsid w:val="000F1990"/>
    <w:pPr>
      <w:keepNext/>
      <w:numPr>
        <w:ilvl w:val="1"/>
        <w:numId w:val="25"/>
      </w:numPr>
      <w:spacing w:before="240" w:after="0" w:line="240" w:lineRule="auto"/>
      <w:jc w:val="both"/>
    </w:pPr>
    <w:rPr>
      <w:rFonts w:ascii="Times New Roman" w:hAnsi="Times New Roman"/>
      <w:b/>
      <w:sz w:val="20"/>
      <w:szCs w:val="20"/>
    </w:rPr>
  </w:style>
  <w:style w:type="paragraph" w:customStyle="1" w:styleId="a0">
    <w:name w:val="Часть"/>
    <w:basedOn w:val="a1"/>
    <w:link w:val="aff8"/>
    <w:qFormat/>
    <w:rsid w:val="000F1990"/>
    <w:pPr>
      <w:keepNext/>
      <w:widowControl w:val="0"/>
      <w:numPr>
        <w:numId w:val="25"/>
      </w:numPr>
      <w:spacing w:before="360" w:after="120" w:line="240" w:lineRule="auto"/>
      <w:jc w:val="center"/>
    </w:pPr>
    <w:rPr>
      <w:rFonts w:ascii="Times New Roman" w:hAnsi="Times New Roman"/>
      <w:b/>
      <w:bCs/>
      <w:sz w:val="24"/>
    </w:rPr>
  </w:style>
  <w:style w:type="character" w:customStyle="1" w:styleId="aff8">
    <w:name w:val="Часть Знак"/>
    <w:basedOn w:val="a2"/>
    <w:link w:val="a0"/>
    <w:rsid w:val="002A3D95"/>
    <w:rPr>
      <w:rFonts w:ascii="Times New Roman" w:hAnsi="Times New Roman"/>
      <w:b/>
      <w:bCs/>
      <w:sz w:val="24"/>
      <w:szCs w:val="22"/>
      <w:lang w:eastAsia="en-US"/>
    </w:rPr>
  </w:style>
  <w:style w:type="paragraph" w:customStyle="1" w:styleId="2">
    <w:name w:val="Раздел 2"/>
    <w:basedOn w:val="1"/>
    <w:uiPriority w:val="99"/>
    <w:qFormat/>
    <w:rsid w:val="000F1990"/>
    <w:pPr>
      <w:numPr>
        <w:ilvl w:val="2"/>
      </w:numPr>
      <w:spacing w:before="120"/>
    </w:pPr>
  </w:style>
  <w:style w:type="paragraph" w:customStyle="1" w:styleId="3">
    <w:name w:val="Раздел 3"/>
    <w:basedOn w:val="2"/>
    <w:uiPriority w:val="99"/>
    <w:qFormat/>
    <w:rsid w:val="000F1990"/>
    <w:pPr>
      <w:numPr>
        <w:ilvl w:val="3"/>
      </w:numPr>
    </w:pPr>
  </w:style>
  <w:style w:type="paragraph" w:customStyle="1" w:styleId="41">
    <w:name w:val="Раздел 4"/>
    <w:basedOn w:val="3"/>
    <w:link w:val="42"/>
    <w:qFormat/>
    <w:rsid w:val="000F1990"/>
    <w:pPr>
      <w:numPr>
        <w:ilvl w:val="4"/>
      </w:numPr>
    </w:pPr>
    <w:rPr>
      <w:i/>
    </w:rPr>
  </w:style>
  <w:style w:type="character" w:customStyle="1" w:styleId="42">
    <w:name w:val="Раздел 4 Знак"/>
    <w:link w:val="41"/>
    <w:rsid w:val="000F1990"/>
    <w:rPr>
      <w:rFonts w:ascii="Times New Roman" w:hAnsi="Times New Roman"/>
      <w:b/>
      <w:i/>
      <w:lang w:eastAsia="en-US"/>
    </w:rPr>
  </w:style>
  <w:style w:type="character" w:customStyle="1" w:styleId="s12">
    <w:name w:val="s12"/>
    <w:basedOn w:val="a2"/>
    <w:rsid w:val="0009425C"/>
  </w:style>
  <w:style w:type="character" w:customStyle="1" w:styleId="bumpedfont15">
    <w:name w:val="bumpedfont15"/>
    <w:basedOn w:val="a2"/>
    <w:rsid w:val="0009425C"/>
  </w:style>
  <w:style w:type="paragraph" w:customStyle="1" w:styleId="13">
    <w:name w:val="Абзац списка1"/>
    <w:basedOn w:val="a1"/>
    <w:uiPriority w:val="99"/>
    <w:rsid w:val="008C1454"/>
    <w:pPr>
      <w:spacing w:after="0" w:line="240" w:lineRule="auto"/>
      <w:ind w:left="720"/>
    </w:pPr>
    <w:rPr>
      <w:rFonts w:ascii="Times New Roman" w:eastAsia="Times New Roman" w:hAnsi="Times New Roman"/>
      <w:sz w:val="24"/>
      <w:szCs w:val="20"/>
      <w:lang w:eastAsia="ru-RU"/>
    </w:rPr>
  </w:style>
  <w:style w:type="character" w:styleId="aff9">
    <w:name w:val="Strong"/>
    <w:uiPriority w:val="22"/>
    <w:qFormat/>
    <w:rsid w:val="00682B97"/>
    <w:rPr>
      <w:b/>
      <w:bCs/>
    </w:rPr>
  </w:style>
  <w:style w:type="paragraph" w:styleId="affa">
    <w:name w:val="TOC Heading"/>
    <w:basedOn w:val="10"/>
    <w:next w:val="a1"/>
    <w:uiPriority w:val="39"/>
    <w:semiHidden/>
    <w:unhideWhenUsed/>
    <w:qFormat/>
    <w:rsid w:val="00211A11"/>
    <w:pPr>
      <w:numPr>
        <w:numId w:val="0"/>
      </w:numPr>
      <w:autoSpaceDE/>
      <w:autoSpaceDN/>
      <w:adjustRightInd/>
      <w:spacing w:before="480" w:after="0" w:line="276" w:lineRule="auto"/>
      <w:jc w:val="left"/>
      <w:outlineLvl w:val="9"/>
    </w:pPr>
    <w:rPr>
      <w:rFonts w:ascii="Cambria" w:hAnsi="Cambria"/>
      <w:iCs w:val="0"/>
      <w:smallCaps w:val="0"/>
      <w:color w:val="365F91"/>
      <w:spacing w:val="0"/>
      <w:kern w:val="0"/>
      <w:sz w:val="28"/>
      <w:szCs w:val="28"/>
    </w:rPr>
  </w:style>
  <w:style w:type="paragraph" w:styleId="14">
    <w:name w:val="toc 1"/>
    <w:basedOn w:val="a1"/>
    <w:next w:val="a1"/>
    <w:autoRedefine/>
    <w:uiPriority w:val="39"/>
    <w:unhideWhenUsed/>
    <w:rsid w:val="00211A11"/>
    <w:pPr>
      <w:spacing w:after="100"/>
    </w:pPr>
  </w:style>
  <w:style w:type="paragraph" w:styleId="24">
    <w:name w:val="toc 2"/>
    <w:basedOn w:val="a1"/>
    <w:next w:val="a1"/>
    <w:autoRedefine/>
    <w:uiPriority w:val="39"/>
    <w:unhideWhenUsed/>
    <w:rsid w:val="00211A11"/>
    <w:pPr>
      <w:spacing w:after="100"/>
      <w:ind w:left="220"/>
    </w:pPr>
  </w:style>
  <w:style w:type="paragraph" w:customStyle="1" w:styleId="15">
    <w:name w:val="Стиль Заголовок 1 + По ширине"/>
    <w:basedOn w:val="10"/>
    <w:uiPriority w:val="99"/>
    <w:rsid w:val="0059331C"/>
    <w:pPr>
      <w:pageBreakBefore/>
      <w:suppressLineNumbers/>
      <w:autoSpaceDE/>
      <w:autoSpaceDN/>
      <w:adjustRightInd/>
      <w:spacing w:before="240" w:after="120"/>
      <w:ind w:left="360" w:hanging="360"/>
      <w:jc w:val="both"/>
    </w:pPr>
    <w:rPr>
      <w:iCs w:val="0"/>
      <w:caps/>
      <w:smallCaps w:val="0"/>
      <w:spacing w:val="0"/>
      <w:kern w:val="0"/>
      <w:sz w:val="27"/>
      <w:szCs w:val="20"/>
    </w:rPr>
  </w:style>
  <w:style w:type="character" w:customStyle="1" w:styleId="25">
    <w:name w:val="Основной текст (2)_"/>
    <w:basedOn w:val="a2"/>
    <w:link w:val="26"/>
    <w:rsid w:val="00366F11"/>
    <w:rPr>
      <w:rFonts w:ascii="Arial" w:eastAsia="Arial" w:hAnsi="Arial" w:cs="Arial"/>
      <w:sz w:val="19"/>
      <w:szCs w:val="19"/>
      <w:shd w:val="clear" w:color="auto" w:fill="FFFFFF"/>
    </w:rPr>
  </w:style>
  <w:style w:type="paragraph" w:customStyle="1" w:styleId="26">
    <w:name w:val="Основной текст (2)"/>
    <w:basedOn w:val="a1"/>
    <w:link w:val="25"/>
    <w:rsid w:val="00366F11"/>
    <w:pPr>
      <w:widowControl w:val="0"/>
      <w:shd w:val="clear" w:color="auto" w:fill="FFFFFF"/>
      <w:spacing w:after="0" w:line="298" w:lineRule="auto"/>
      <w:jc w:val="center"/>
    </w:pPr>
    <w:rPr>
      <w:rFonts w:ascii="Arial" w:eastAsia="Arial" w:hAnsi="Arial" w:cs="Arial"/>
      <w:sz w:val="19"/>
      <w:szCs w:val="19"/>
      <w:lang w:eastAsia="ru-RU"/>
    </w:rPr>
  </w:style>
  <w:style w:type="character" w:customStyle="1" w:styleId="affb">
    <w:name w:val="Другое_"/>
    <w:basedOn w:val="a2"/>
    <w:link w:val="affc"/>
    <w:rsid w:val="00366F11"/>
    <w:rPr>
      <w:rFonts w:ascii="Arial" w:eastAsia="Arial" w:hAnsi="Arial" w:cs="Arial"/>
      <w:sz w:val="22"/>
      <w:szCs w:val="22"/>
      <w:shd w:val="clear" w:color="auto" w:fill="FFFFFF"/>
    </w:rPr>
  </w:style>
  <w:style w:type="paragraph" w:customStyle="1" w:styleId="affc">
    <w:name w:val="Другое"/>
    <w:basedOn w:val="a1"/>
    <w:link w:val="affb"/>
    <w:rsid w:val="00366F11"/>
    <w:pPr>
      <w:widowControl w:val="0"/>
      <w:shd w:val="clear" w:color="auto" w:fill="FFFFFF"/>
      <w:spacing w:after="0" w:line="372" w:lineRule="auto"/>
      <w:ind w:firstLine="400"/>
    </w:pPr>
    <w:rPr>
      <w:rFonts w:ascii="Arial" w:eastAsia="Arial" w:hAnsi="Arial" w:cs="Arial"/>
      <w:lang w:eastAsia="ru-RU"/>
    </w:rPr>
  </w:style>
  <w:style w:type="character" w:customStyle="1" w:styleId="affd">
    <w:name w:val="Основной текст_"/>
    <w:basedOn w:val="a2"/>
    <w:link w:val="16"/>
    <w:rsid w:val="00366F11"/>
    <w:rPr>
      <w:rFonts w:ascii="Arial" w:eastAsia="Arial" w:hAnsi="Arial" w:cs="Arial"/>
      <w:sz w:val="22"/>
      <w:szCs w:val="22"/>
      <w:shd w:val="clear" w:color="auto" w:fill="FFFFFF"/>
    </w:rPr>
  </w:style>
  <w:style w:type="paragraph" w:customStyle="1" w:styleId="16">
    <w:name w:val="Основной текст1"/>
    <w:basedOn w:val="a1"/>
    <w:link w:val="affd"/>
    <w:rsid w:val="00366F11"/>
    <w:pPr>
      <w:widowControl w:val="0"/>
      <w:shd w:val="clear" w:color="auto" w:fill="FFFFFF"/>
      <w:spacing w:after="0" w:line="372" w:lineRule="auto"/>
      <w:ind w:firstLine="400"/>
    </w:pPr>
    <w:rPr>
      <w:rFonts w:ascii="Arial" w:eastAsia="Arial" w:hAnsi="Arial" w:cs="Arial"/>
      <w:lang w:eastAsia="ru-RU"/>
    </w:rPr>
  </w:style>
  <w:style w:type="paragraph" w:styleId="affe">
    <w:name w:val="Normal (Web)"/>
    <w:basedOn w:val="a1"/>
    <w:uiPriority w:val="99"/>
    <w:unhideWhenUsed/>
    <w:rsid w:val="002A3D95"/>
    <w:pPr>
      <w:spacing w:before="100" w:beforeAutospacing="1" w:after="100" w:afterAutospacing="1" w:line="240" w:lineRule="auto"/>
    </w:pPr>
    <w:rPr>
      <w:rFonts w:ascii="Times New Roman" w:hAnsi="Times New Roman"/>
      <w:color w:val="000000"/>
      <w:sz w:val="24"/>
      <w:szCs w:val="24"/>
      <w:lang w:eastAsia="ru-RU"/>
    </w:rPr>
  </w:style>
  <w:style w:type="character" w:customStyle="1" w:styleId="17">
    <w:name w:val="Неразрешенное упоминание1"/>
    <w:basedOn w:val="a2"/>
    <w:uiPriority w:val="99"/>
    <w:semiHidden/>
    <w:unhideWhenUsed/>
    <w:rsid w:val="00861078"/>
    <w:rPr>
      <w:color w:val="605E5C"/>
      <w:shd w:val="clear" w:color="auto" w:fill="E1DFDD"/>
    </w:rPr>
  </w:style>
  <w:style w:type="paragraph" w:customStyle="1" w:styleId="ConsTitle">
    <w:name w:val="ConsTitle"/>
    <w:rsid w:val="00567222"/>
    <w:pPr>
      <w:widowControl w:val="0"/>
      <w:suppressAutoHyphens/>
    </w:pPr>
    <w:rPr>
      <w:rFonts w:ascii="Arial" w:eastAsia="Arial" w:hAnsi="Arial" w:cs="Arial"/>
      <w:b/>
      <w:bCs/>
      <w:sz w:val="16"/>
      <w:szCs w:val="16"/>
      <w:lang w:eastAsia="ar-SA"/>
    </w:rPr>
  </w:style>
  <w:style w:type="paragraph" w:customStyle="1" w:styleId="msonormal0">
    <w:name w:val="msonormal"/>
    <w:basedOn w:val="a1"/>
    <w:uiPriority w:val="99"/>
    <w:rsid w:val="00BA43DC"/>
    <w:pPr>
      <w:spacing w:before="100" w:beforeAutospacing="1" w:after="100" w:afterAutospacing="1" w:line="240" w:lineRule="auto"/>
    </w:pPr>
    <w:rPr>
      <w:rFonts w:ascii="Times New Roman" w:hAnsi="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226514">
      <w:bodyDiv w:val="1"/>
      <w:marLeft w:val="0"/>
      <w:marRight w:val="0"/>
      <w:marTop w:val="0"/>
      <w:marBottom w:val="0"/>
      <w:divBdr>
        <w:top w:val="none" w:sz="0" w:space="0" w:color="auto"/>
        <w:left w:val="none" w:sz="0" w:space="0" w:color="auto"/>
        <w:bottom w:val="none" w:sz="0" w:space="0" w:color="auto"/>
        <w:right w:val="none" w:sz="0" w:space="0" w:color="auto"/>
      </w:divBdr>
    </w:div>
    <w:div w:id="145633287">
      <w:bodyDiv w:val="1"/>
      <w:marLeft w:val="0"/>
      <w:marRight w:val="0"/>
      <w:marTop w:val="0"/>
      <w:marBottom w:val="0"/>
      <w:divBdr>
        <w:top w:val="none" w:sz="0" w:space="0" w:color="auto"/>
        <w:left w:val="none" w:sz="0" w:space="0" w:color="auto"/>
        <w:bottom w:val="none" w:sz="0" w:space="0" w:color="auto"/>
        <w:right w:val="none" w:sz="0" w:space="0" w:color="auto"/>
      </w:divBdr>
    </w:div>
    <w:div w:id="311065948">
      <w:bodyDiv w:val="1"/>
      <w:marLeft w:val="0"/>
      <w:marRight w:val="0"/>
      <w:marTop w:val="0"/>
      <w:marBottom w:val="0"/>
      <w:divBdr>
        <w:top w:val="none" w:sz="0" w:space="0" w:color="auto"/>
        <w:left w:val="none" w:sz="0" w:space="0" w:color="auto"/>
        <w:bottom w:val="none" w:sz="0" w:space="0" w:color="auto"/>
        <w:right w:val="none" w:sz="0" w:space="0" w:color="auto"/>
      </w:divBdr>
    </w:div>
    <w:div w:id="381563116">
      <w:bodyDiv w:val="1"/>
      <w:marLeft w:val="0"/>
      <w:marRight w:val="0"/>
      <w:marTop w:val="0"/>
      <w:marBottom w:val="0"/>
      <w:divBdr>
        <w:top w:val="none" w:sz="0" w:space="0" w:color="auto"/>
        <w:left w:val="none" w:sz="0" w:space="0" w:color="auto"/>
        <w:bottom w:val="none" w:sz="0" w:space="0" w:color="auto"/>
        <w:right w:val="none" w:sz="0" w:space="0" w:color="auto"/>
      </w:divBdr>
    </w:div>
    <w:div w:id="399718658">
      <w:bodyDiv w:val="1"/>
      <w:marLeft w:val="0"/>
      <w:marRight w:val="0"/>
      <w:marTop w:val="0"/>
      <w:marBottom w:val="0"/>
      <w:divBdr>
        <w:top w:val="none" w:sz="0" w:space="0" w:color="auto"/>
        <w:left w:val="none" w:sz="0" w:space="0" w:color="auto"/>
        <w:bottom w:val="none" w:sz="0" w:space="0" w:color="auto"/>
        <w:right w:val="none" w:sz="0" w:space="0" w:color="auto"/>
      </w:divBdr>
    </w:div>
    <w:div w:id="451752893">
      <w:bodyDiv w:val="1"/>
      <w:marLeft w:val="0"/>
      <w:marRight w:val="0"/>
      <w:marTop w:val="0"/>
      <w:marBottom w:val="0"/>
      <w:divBdr>
        <w:top w:val="none" w:sz="0" w:space="0" w:color="auto"/>
        <w:left w:val="none" w:sz="0" w:space="0" w:color="auto"/>
        <w:bottom w:val="none" w:sz="0" w:space="0" w:color="auto"/>
        <w:right w:val="none" w:sz="0" w:space="0" w:color="auto"/>
      </w:divBdr>
    </w:div>
    <w:div w:id="465048405">
      <w:bodyDiv w:val="1"/>
      <w:marLeft w:val="0"/>
      <w:marRight w:val="0"/>
      <w:marTop w:val="0"/>
      <w:marBottom w:val="0"/>
      <w:divBdr>
        <w:top w:val="none" w:sz="0" w:space="0" w:color="auto"/>
        <w:left w:val="none" w:sz="0" w:space="0" w:color="auto"/>
        <w:bottom w:val="none" w:sz="0" w:space="0" w:color="auto"/>
        <w:right w:val="none" w:sz="0" w:space="0" w:color="auto"/>
      </w:divBdr>
    </w:div>
    <w:div w:id="507906118">
      <w:bodyDiv w:val="1"/>
      <w:marLeft w:val="0"/>
      <w:marRight w:val="0"/>
      <w:marTop w:val="0"/>
      <w:marBottom w:val="0"/>
      <w:divBdr>
        <w:top w:val="none" w:sz="0" w:space="0" w:color="auto"/>
        <w:left w:val="none" w:sz="0" w:space="0" w:color="auto"/>
        <w:bottom w:val="none" w:sz="0" w:space="0" w:color="auto"/>
        <w:right w:val="none" w:sz="0" w:space="0" w:color="auto"/>
      </w:divBdr>
    </w:div>
    <w:div w:id="507912864">
      <w:bodyDiv w:val="1"/>
      <w:marLeft w:val="0"/>
      <w:marRight w:val="0"/>
      <w:marTop w:val="0"/>
      <w:marBottom w:val="0"/>
      <w:divBdr>
        <w:top w:val="none" w:sz="0" w:space="0" w:color="auto"/>
        <w:left w:val="none" w:sz="0" w:space="0" w:color="auto"/>
        <w:bottom w:val="none" w:sz="0" w:space="0" w:color="auto"/>
        <w:right w:val="none" w:sz="0" w:space="0" w:color="auto"/>
      </w:divBdr>
    </w:div>
    <w:div w:id="645404096">
      <w:bodyDiv w:val="1"/>
      <w:marLeft w:val="0"/>
      <w:marRight w:val="0"/>
      <w:marTop w:val="0"/>
      <w:marBottom w:val="0"/>
      <w:divBdr>
        <w:top w:val="none" w:sz="0" w:space="0" w:color="auto"/>
        <w:left w:val="none" w:sz="0" w:space="0" w:color="auto"/>
        <w:bottom w:val="none" w:sz="0" w:space="0" w:color="auto"/>
        <w:right w:val="none" w:sz="0" w:space="0" w:color="auto"/>
      </w:divBdr>
    </w:div>
    <w:div w:id="683241862">
      <w:bodyDiv w:val="1"/>
      <w:marLeft w:val="0"/>
      <w:marRight w:val="0"/>
      <w:marTop w:val="0"/>
      <w:marBottom w:val="0"/>
      <w:divBdr>
        <w:top w:val="none" w:sz="0" w:space="0" w:color="auto"/>
        <w:left w:val="none" w:sz="0" w:space="0" w:color="auto"/>
        <w:bottom w:val="none" w:sz="0" w:space="0" w:color="auto"/>
        <w:right w:val="none" w:sz="0" w:space="0" w:color="auto"/>
      </w:divBdr>
    </w:div>
    <w:div w:id="753403170">
      <w:bodyDiv w:val="1"/>
      <w:marLeft w:val="0"/>
      <w:marRight w:val="0"/>
      <w:marTop w:val="0"/>
      <w:marBottom w:val="0"/>
      <w:divBdr>
        <w:top w:val="none" w:sz="0" w:space="0" w:color="auto"/>
        <w:left w:val="none" w:sz="0" w:space="0" w:color="auto"/>
        <w:bottom w:val="none" w:sz="0" w:space="0" w:color="auto"/>
        <w:right w:val="none" w:sz="0" w:space="0" w:color="auto"/>
      </w:divBdr>
    </w:div>
    <w:div w:id="759789761">
      <w:bodyDiv w:val="1"/>
      <w:marLeft w:val="0"/>
      <w:marRight w:val="0"/>
      <w:marTop w:val="0"/>
      <w:marBottom w:val="0"/>
      <w:divBdr>
        <w:top w:val="none" w:sz="0" w:space="0" w:color="auto"/>
        <w:left w:val="none" w:sz="0" w:space="0" w:color="auto"/>
        <w:bottom w:val="none" w:sz="0" w:space="0" w:color="auto"/>
        <w:right w:val="none" w:sz="0" w:space="0" w:color="auto"/>
      </w:divBdr>
    </w:div>
    <w:div w:id="783380261">
      <w:bodyDiv w:val="1"/>
      <w:marLeft w:val="0"/>
      <w:marRight w:val="0"/>
      <w:marTop w:val="0"/>
      <w:marBottom w:val="0"/>
      <w:divBdr>
        <w:top w:val="none" w:sz="0" w:space="0" w:color="auto"/>
        <w:left w:val="none" w:sz="0" w:space="0" w:color="auto"/>
        <w:bottom w:val="none" w:sz="0" w:space="0" w:color="auto"/>
        <w:right w:val="none" w:sz="0" w:space="0" w:color="auto"/>
      </w:divBdr>
    </w:div>
    <w:div w:id="839464551">
      <w:bodyDiv w:val="1"/>
      <w:marLeft w:val="0"/>
      <w:marRight w:val="0"/>
      <w:marTop w:val="0"/>
      <w:marBottom w:val="0"/>
      <w:divBdr>
        <w:top w:val="none" w:sz="0" w:space="0" w:color="auto"/>
        <w:left w:val="none" w:sz="0" w:space="0" w:color="auto"/>
        <w:bottom w:val="none" w:sz="0" w:space="0" w:color="auto"/>
        <w:right w:val="none" w:sz="0" w:space="0" w:color="auto"/>
      </w:divBdr>
    </w:div>
    <w:div w:id="848183366">
      <w:bodyDiv w:val="1"/>
      <w:marLeft w:val="0"/>
      <w:marRight w:val="0"/>
      <w:marTop w:val="0"/>
      <w:marBottom w:val="0"/>
      <w:divBdr>
        <w:top w:val="none" w:sz="0" w:space="0" w:color="auto"/>
        <w:left w:val="none" w:sz="0" w:space="0" w:color="auto"/>
        <w:bottom w:val="none" w:sz="0" w:space="0" w:color="auto"/>
        <w:right w:val="none" w:sz="0" w:space="0" w:color="auto"/>
      </w:divBdr>
    </w:div>
    <w:div w:id="857046232">
      <w:bodyDiv w:val="1"/>
      <w:marLeft w:val="0"/>
      <w:marRight w:val="0"/>
      <w:marTop w:val="0"/>
      <w:marBottom w:val="0"/>
      <w:divBdr>
        <w:top w:val="none" w:sz="0" w:space="0" w:color="auto"/>
        <w:left w:val="none" w:sz="0" w:space="0" w:color="auto"/>
        <w:bottom w:val="none" w:sz="0" w:space="0" w:color="auto"/>
        <w:right w:val="none" w:sz="0" w:space="0" w:color="auto"/>
      </w:divBdr>
    </w:div>
    <w:div w:id="901525374">
      <w:bodyDiv w:val="1"/>
      <w:marLeft w:val="0"/>
      <w:marRight w:val="0"/>
      <w:marTop w:val="0"/>
      <w:marBottom w:val="0"/>
      <w:divBdr>
        <w:top w:val="none" w:sz="0" w:space="0" w:color="auto"/>
        <w:left w:val="none" w:sz="0" w:space="0" w:color="auto"/>
        <w:bottom w:val="none" w:sz="0" w:space="0" w:color="auto"/>
        <w:right w:val="none" w:sz="0" w:space="0" w:color="auto"/>
      </w:divBdr>
    </w:div>
    <w:div w:id="918952792">
      <w:bodyDiv w:val="1"/>
      <w:marLeft w:val="0"/>
      <w:marRight w:val="0"/>
      <w:marTop w:val="0"/>
      <w:marBottom w:val="0"/>
      <w:divBdr>
        <w:top w:val="none" w:sz="0" w:space="0" w:color="auto"/>
        <w:left w:val="none" w:sz="0" w:space="0" w:color="auto"/>
        <w:bottom w:val="none" w:sz="0" w:space="0" w:color="auto"/>
        <w:right w:val="none" w:sz="0" w:space="0" w:color="auto"/>
      </w:divBdr>
    </w:div>
    <w:div w:id="1146361022">
      <w:bodyDiv w:val="1"/>
      <w:marLeft w:val="0"/>
      <w:marRight w:val="0"/>
      <w:marTop w:val="0"/>
      <w:marBottom w:val="0"/>
      <w:divBdr>
        <w:top w:val="none" w:sz="0" w:space="0" w:color="auto"/>
        <w:left w:val="none" w:sz="0" w:space="0" w:color="auto"/>
        <w:bottom w:val="none" w:sz="0" w:space="0" w:color="auto"/>
        <w:right w:val="none" w:sz="0" w:space="0" w:color="auto"/>
      </w:divBdr>
    </w:div>
    <w:div w:id="1148982049">
      <w:bodyDiv w:val="1"/>
      <w:marLeft w:val="0"/>
      <w:marRight w:val="0"/>
      <w:marTop w:val="0"/>
      <w:marBottom w:val="0"/>
      <w:divBdr>
        <w:top w:val="none" w:sz="0" w:space="0" w:color="auto"/>
        <w:left w:val="none" w:sz="0" w:space="0" w:color="auto"/>
        <w:bottom w:val="none" w:sz="0" w:space="0" w:color="auto"/>
        <w:right w:val="none" w:sz="0" w:space="0" w:color="auto"/>
      </w:divBdr>
    </w:div>
    <w:div w:id="1211918660">
      <w:bodyDiv w:val="1"/>
      <w:marLeft w:val="0"/>
      <w:marRight w:val="0"/>
      <w:marTop w:val="0"/>
      <w:marBottom w:val="0"/>
      <w:divBdr>
        <w:top w:val="none" w:sz="0" w:space="0" w:color="auto"/>
        <w:left w:val="none" w:sz="0" w:space="0" w:color="auto"/>
        <w:bottom w:val="none" w:sz="0" w:space="0" w:color="auto"/>
        <w:right w:val="none" w:sz="0" w:space="0" w:color="auto"/>
      </w:divBdr>
    </w:div>
    <w:div w:id="1246459291">
      <w:bodyDiv w:val="1"/>
      <w:marLeft w:val="0"/>
      <w:marRight w:val="0"/>
      <w:marTop w:val="0"/>
      <w:marBottom w:val="0"/>
      <w:divBdr>
        <w:top w:val="none" w:sz="0" w:space="0" w:color="auto"/>
        <w:left w:val="none" w:sz="0" w:space="0" w:color="auto"/>
        <w:bottom w:val="none" w:sz="0" w:space="0" w:color="auto"/>
        <w:right w:val="none" w:sz="0" w:space="0" w:color="auto"/>
      </w:divBdr>
    </w:div>
    <w:div w:id="1293026117">
      <w:bodyDiv w:val="1"/>
      <w:marLeft w:val="0"/>
      <w:marRight w:val="0"/>
      <w:marTop w:val="0"/>
      <w:marBottom w:val="0"/>
      <w:divBdr>
        <w:top w:val="none" w:sz="0" w:space="0" w:color="auto"/>
        <w:left w:val="none" w:sz="0" w:space="0" w:color="auto"/>
        <w:bottom w:val="none" w:sz="0" w:space="0" w:color="auto"/>
        <w:right w:val="none" w:sz="0" w:space="0" w:color="auto"/>
      </w:divBdr>
      <w:divsChild>
        <w:div w:id="408233865">
          <w:marLeft w:val="0"/>
          <w:marRight w:val="0"/>
          <w:marTop w:val="0"/>
          <w:marBottom w:val="210"/>
          <w:divBdr>
            <w:top w:val="none" w:sz="0" w:space="0" w:color="auto"/>
            <w:left w:val="none" w:sz="0" w:space="0" w:color="auto"/>
            <w:bottom w:val="none" w:sz="0" w:space="0" w:color="auto"/>
            <w:right w:val="none" w:sz="0" w:space="0" w:color="auto"/>
          </w:divBdr>
          <w:divsChild>
            <w:div w:id="1673682671">
              <w:marLeft w:val="0"/>
              <w:marRight w:val="0"/>
              <w:marTop w:val="0"/>
              <w:marBottom w:val="0"/>
              <w:divBdr>
                <w:top w:val="none" w:sz="0" w:space="0" w:color="auto"/>
                <w:left w:val="none" w:sz="0" w:space="0" w:color="auto"/>
                <w:bottom w:val="none" w:sz="0" w:space="0" w:color="auto"/>
                <w:right w:val="none" w:sz="0" w:space="0" w:color="auto"/>
              </w:divBdr>
              <w:divsChild>
                <w:div w:id="1981688787">
                  <w:marLeft w:val="0"/>
                  <w:marRight w:val="0"/>
                  <w:marTop w:val="0"/>
                  <w:marBottom w:val="0"/>
                  <w:divBdr>
                    <w:top w:val="none" w:sz="0" w:space="0" w:color="auto"/>
                    <w:left w:val="none" w:sz="0" w:space="0" w:color="auto"/>
                    <w:bottom w:val="none" w:sz="0" w:space="0" w:color="auto"/>
                    <w:right w:val="none" w:sz="0" w:space="0" w:color="auto"/>
                  </w:divBdr>
                  <w:divsChild>
                    <w:div w:id="935598111">
                      <w:marLeft w:val="0"/>
                      <w:marRight w:val="0"/>
                      <w:marTop w:val="0"/>
                      <w:marBottom w:val="0"/>
                      <w:divBdr>
                        <w:top w:val="none" w:sz="0" w:space="0" w:color="auto"/>
                        <w:left w:val="none" w:sz="0" w:space="0" w:color="auto"/>
                        <w:bottom w:val="none" w:sz="0" w:space="0" w:color="auto"/>
                        <w:right w:val="none" w:sz="0" w:space="0" w:color="auto"/>
                      </w:divBdr>
                      <w:divsChild>
                        <w:div w:id="289870040">
                          <w:marLeft w:val="15"/>
                          <w:marRight w:val="0"/>
                          <w:marTop w:val="0"/>
                          <w:marBottom w:val="0"/>
                          <w:divBdr>
                            <w:top w:val="none" w:sz="0" w:space="0" w:color="auto"/>
                            <w:left w:val="single" w:sz="6" w:space="8" w:color="C9C9C9"/>
                            <w:bottom w:val="none" w:sz="0" w:space="0" w:color="auto"/>
                            <w:right w:val="none" w:sz="0" w:space="0" w:color="auto"/>
                          </w:divBdr>
                          <w:divsChild>
                            <w:div w:id="192310091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7737601">
      <w:bodyDiv w:val="1"/>
      <w:marLeft w:val="0"/>
      <w:marRight w:val="0"/>
      <w:marTop w:val="0"/>
      <w:marBottom w:val="0"/>
      <w:divBdr>
        <w:top w:val="none" w:sz="0" w:space="0" w:color="auto"/>
        <w:left w:val="none" w:sz="0" w:space="0" w:color="auto"/>
        <w:bottom w:val="none" w:sz="0" w:space="0" w:color="auto"/>
        <w:right w:val="none" w:sz="0" w:space="0" w:color="auto"/>
      </w:divBdr>
    </w:div>
    <w:div w:id="1353845560">
      <w:bodyDiv w:val="1"/>
      <w:marLeft w:val="0"/>
      <w:marRight w:val="0"/>
      <w:marTop w:val="0"/>
      <w:marBottom w:val="0"/>
      <w:divBdr>
        <w:top w:val="none" w:sz="0" w:space="0" w:color="auto"/>
        <w:left w:val="none" w:sz="0" w:space="0" w:color="auto"/>
        <w:bottom w:val="none" w:sz="0" w:space="0" w:color="auto"/>
        <w:right w:val="none" w:sz="0" w:space="0" w:color="auto"/>
      </w:divBdr>
    </w:div>
    <w:div w:id="1437018650">
      <w:bodyDiv w:val="1"/>
      <w:marLeft w:val="0"/>
      <w:marRight w:val="0"/>
      <w:marTop w:val="0"/>
      <w:marBottom w:val="0"/>
      <w:divBdr>
        <w:top w:val="none" w:sz="0" w:space="0" w:color="auto"/>
        <w:left w:val="none" w:sz="0" w:space="0" w:color="auto"/>
        <w:bottom w:val="none" w:sz="0" w:space="0" w:color="auto"/>
        <w:right w:val="none" w:sz="0" w:space="0" w:color="auto"/>
      </w:divBdr>
    </w:div>
    <w:div w:id="1457019237">
      <w:bodyDiv w:val="1"/>
      <w:marLeft w:val="0"/>
      <w:marRight w:val="0"/>
      <w:marTop w:val="0"/>
      <w:marBottom w:val="0"/>
      <w:divBdr>
        <w:top w:val="none" w:sz="0" w:space="0" w:color="auto"/>
        <w:left w:val="none" w:sz="0" w:space="0" w:color="auto"/>
        <w:bottom w:val="none" w:sz="0" w:space="0" w:color="auto"/>
        <w:right w:val="none" w:sz="0" w:space="0" w:color="auto"/>
      </w:divBdr>
    </w:div>
    <w:div w:id="1615747860">
      <w:bodyDiv w:val="1"/>
      <w:marLeft w:val="0"/>
      <w:marRight w:val="0"/>
      <w:marTop w:val="0"/>
      <w:marBottom w:val="0"/>
      <w:divBdr>
        <w:top w:val="none" w:sz="0" w:space="0" w:color="auto"/>
        <w:left w:val="none" w:sz="0" w:space="0" w:color="auto"/>
        <w:bottom w:val="none" w:sz="0" w:space="0" w:color="auto"/>
        <w:right w:val="none" w:sz="0" w:space="0" w:color="auto"/>
      </w:divBdr>
    </w:div>
    <w:div w:id="1631595028">
      <w:bodyDiv w:val="1"/>
      <w:marLeft w:val="0"/>
      <w:marRight w:val="0"/>
      <w:marTop w:val="0"/>
      <w:marBottom w:val="0"/>
      <w:divBdr>
        <w:top w:val="none" w:sz="0" w:space="0" w:color="auto"/>
        <w:left w:val="none" w:sz="0" w:space="0" w:color="auto"/>
        <w:bottom w:val="none" w:sz="0" w:space="0" w:color="auto"/>
        <w:right w:val="none" w:sz="0" w:space="0" w:color="auto"/>
      </w:divBdr>
    </w:div>
    <w:div w:id="1843354827">
      <w:bodyDiv w:val="1"/>
      <w:marLeft w:val="0"/>
      <w:marRight w:val="0"/>
      <w:marTop w:val="0"/>
      <w:marBottom w:val="0"/>
      <w:divBdr>
        <w:top w:val="none" w:sz="0" w:space="0" w:color="auto"/>
        <w:left w:val="none" w:sz="0" w:space="0" w:color="auto"/>
        <w:bottom w:val="none" w:sz="0" w:space="0" w:color="auto"/>
        <w:right w:val="none" w:sz="0" w:space="0" w:color="auto"/>
      </w:divBdr>
    </w:div>
    <w:div w:id="1864440545">
      <w:bodyDiv w:val="1"/>
      <w:marLeft w:val="0"/>
      <w:marRight w:val="0"/>
      <w:marTop w:val="0"/>
      <w:marBottom w:val="0"/>
      <w:divBdr>
        <w:top w:val="none" w:sz="0" w:space="0" w:color="auto"/>
        <w:left w:val="none" w:sz="0" w:space="0" w:color="auto"/>
        <w:bottom w:val="none" w:sz="0" w:space="0" w:color="auto"/>
        <w:right w:val="none" w:sz="0" w:space="0" w:color="auto"/>
      </w:divBdr>
    </w:div>
    <w:div w:id="1872373207">
      <w:bodyDiv w:val="1"/>
      <w:marLeft w:val="0"/>
      <w:marRight w:val="0"/>
      <w:marTop w:val="0"/>
      <w:marBottom w:val="0"/>
      <w:divBdr>
        <w:top w:val="none" w:sz="0" w:space="0" w:color="auto"/>
        <w:left w:val="none" w:sz="0" w:space="0" w:color="auto"/>
        <w:bottom w:val="none" w:sz="0" w:space="0" w:color="auto"/>
        <w:right w:val="none" w:sz="0" w:space="0" w:color="auto"/>
      </w:divBdr>
    </w:div>
    <w:div w:id="1878393527">
      <w:bodyDiv w:val="1"/>
      <w:marLeft w:val="0"/>
      <w:marRight w:val="0"/>
      <w:marTop w:val="0"/>
      <w:marBottom w:val="0"/>
      <w:divBdr>
        <w:top w:val="none" w:sz="0" w:space="0" w:color="auto"/>
        <w:left w:val="none" w:sz="0" w:space="0" w:color="auto"/>
        <w:bottom w:val="none" w:sz="0" w:space="0" w:color="auto"/>
        <w:right w:val="none" w:sz="0" w:space="0" w:color="auto"/>
      </w:divBdr>
    </w:div>
    <w:div w:id="1902401711">
      <w:bodyDiv w:val="1"/>
      <w:marLeft w:val="0"/>
      <w:marRight w:val="0"/>
      <w:marTop w:val="0"/>
      <w:marBottom w:val="0"/>
      <w:divBdr>
        <w:top w:val="none" w:sz="0" w:space="0" w:color="auto"/>
        <w:left w:val="none" w:sz="0" w:space="0" w:color="auto"/>
        <w:bottom w:val="none" w:sz="0" w:space="0" w:color="auto"/>
        <w:right w:val="none" w:sz="0" w:space="0" w:color="auto"/>
      </w:divBdr>
    </w:div>
    <w:div w:id="1961524255">
      <w:bodyDiv w:val="1"/>
      <w:marLeft w:val="0"/>
      <w:marRight w:val="0"/>
      <w:marTop w:val="0"/>
      <w:marBottom w:val="0"/>
      <w:divBdr>
        <w:top w:val="none" w:sz="0" w:space="0" w:color="auto"/>
        <w:left w:val="none" w:sz="0" w:space="0" w:color="auto"/>
        <w:bottom w:val="none" w:sz="0" w:space="0" w:color="auto"/>
        <w:right w:val="none" w:sz="0" w:space="0" w:color="auto"/>
      </w:divBdr>
    </w:div>
    <w:div w:id="2009364284">
      <w:bodyDiv w:val="1"/>
      <w:marLeft w:val="0"/>
      <w:marRight w:val="0"/>
      <w:marTop w:val="0"/>
      <w:marBottom w:val="0"/>
      <w:divBdr>
        <w:top w:val="none" w:sz="0" w:space="0" w:color="auto"/>
        <w:left w:val="none" w:sz="0" w:space="0" w:color="auto"/>
        <w:bottom w:val="none" w:sz="0" w:space="0" w:color="auto"/>
        <w:right w:val="none" w:sz="0" w:space="0" w:color="auto"/>
      </w:divBdr>
    </w:div>
    <w:div w:id="2062628687">
      <w:bodyDiv w:val="1"/>
      <w:marLeft w:val="0"/>
      <w:marRight w:val="0"/>
      <w:marTop w:val="0"/>
      <w:marBottom w:val="0"/>
      <w:divBdr>
        <w:top w:val="none" w:sz="0" w:space="0" w:color="auto"/>
        <w:left w:val="none" w:sz="0" w:space="0" w:color="auto"/>
        <w:bottom w:val="none" w:sz="0" w:space="0" w:color="auto"/>
        <w:right w:val="none" w:sz="0" w:space="0" w:color="auto"/>
      </w:divBdr>
    </w:div>
    <w:div w:id="2072071083">
      <w:bodyDiv w:val="1"/>
      <w:marLeft w:val="0"/>
      <w:marRight w:val="0"/>
      <w:marTop w:val="0"/>
      <w:marBottom w:val="0"/>
      <w:divBdr>
        <w:top w:val="none" w:sz="0" w:space="0" w:color="auto"/>
        <w:left w:val="none" w:sz="0" w:space="0" w:color="auto"/>
        <w:bottom w:val="none" w:sz="0" w:space="0" w:color="auto"/>
        <w:right w:val="none" w:sz="0" w:space="0" w:color="auto"/>
      </w:divBdr>
    </w:div>
    <w:div w:id="2090537951">
      <w:bodyDiv w:val="1"/>
      <w:marLeft w:val="0"/>
      <w:marRight w:val="0"/>
      <w:marTop w:val="0"/>
      <w:marBottom w:val="0"/>
      <w:divBdr>
        <w:top w:val="none" w:sz="0" w:space="0" w:color="auto"/>
        <w:left w:val="none" w:sz="0" w:space="0" w:color="auto"/>
        <w:bottom w:val="none" w:sz="0" w:space="0" w:color="auto"/>
        <w:right w:val="none" w:sz="0" w:space="0" w:color="auto"/>
      </w:divBdr>
    </w:div>
    <w:div w:id="211455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hyperlink" Target="https://www.cbr.ru/" TargetMode="External"/><Relationship Id="rId26" Type="http://schemas.openxmlformats.org/officeDocument/2006/relationships/hyperlink" Target="https://bankruptcy.kommersant.ru" TargetMode="External"/><Relationship Id="rId3" Type="http://schemas.openxmlformats.org/officeDocument/2006/relationships/styles" Target="styles.xml"/><Relationship Id="rId21" Type="http://schemas.openxmlformats.org/officeDocument/2006/relationships/hyperlink" Target="https://fedresurs.ru"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https://www.moex.com/" TargetMode="External"/><Relationship Id="rId25" Type="http://schemas.openxmlformats.org/officeDocument/2006/relationships/hyperlink" Target="https://bankrot.fedresurs.ru" TargetMode="External"/><Relationship Id="rId33" Type="http://schemas.openxmlformats.org/officeDocument/2006/relationships/hyperlink" Target="https://raexpert.ru/docbank/eef/df6/380/0d335f3cb12556c04667cc2.pdf" TargetMode="External"/><Relationship Id="rId2" Type="http://schemas.openxmlformats.org/officeDocument/2006/relationships/numbering" Target="numbering.xml"/><Relationship Id="rId16" Type="http://schemas.openxmlformats.org/officeDocument/2006/relationships/hyperlink" Target="https://www.e-disclosure.ru/" TargetMode="External"/><Relationship Id="rId20" Type="http://schemas.openxmlformats.org/officeDocument/2006/relationships/hyperlink" Target="https://bankrot.fedresurs.ru" TargetMode="External"/><Relationship Id="rId29" Type="http://schemas.openxmlformats.org/officeDocument/2006/relationships/hyperlink" Target="http://moex.com/a219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hyperlink" Target="https://kad.arbitr.ru/" TargetMode="External"/><Relationship Id="rId32" Type="http://schemas.openxmlformats.org/officeDocument/2006/relationships/hyperlink" Target="http://moex.com/ru/index/RUCBITRB3Y/archive/" TargetMode="Externa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hyperlink" Target="http://www.gks.ru/accounting_report" TargetMode="External"/><Relationship Id="rId28" Type="http://schemas.openxmlformats.org/officeDocument/2006/relationships/hyperlink" Target="http://moex.com/ru/index/RUCBITRBBB3Y/archive" TargetMode="External"/><Relationship Id="rId10" Type="http://schemas.openxmlformats.org/officeDocument/2006/relationships/footer" Target="footer1.xml"/><Relationship Id="rId19" Type="http://schemas.openxmlformats.org/officeDocument/2006/relationships/hyperlink" Target="https://kad.arbitr.ru/" TargetMode="External"/><Relationship Id="rId31" Type="http://schemas.openxmlformats.org/officeDocument/2006/relationships/hyperlink" Target="http://moex.com/a2195" TargetMode="External"/><Relationship Id="rId4" Type="http://schemas.openxmlformats.org/officeDocument/2006/relationships/settings" Target="settings.xml"/><Relationship Id="rId9" Type="http://schemas.openxmlformats.org/officeDocument/2006/relationships/hyperlink" Target="consultantplus://offline/ref=814A0EFF132A09463CD9670AE963F763CB8BB51FD917B86624685F66E005C651B06EA066FEJ4v4J" TargetMode="External"/><Relationship Id="rId14" Type="http://schemas.openxmlformats.org/officeDocument/2006/relationships/oleObject" Target="embeddings/oleObject2.bin"/><Relationship Id="rId22" Type="http://schemas.openxmlformats.org/officeDocument/2006/relationships/hyperlink" Target="https://www.moodys.com/" TargetMode="External"/><Relationship Id="rId27" Type="http://schemas.openxmlformats.org/officeDocument/2006/relationships/hyperlink" Target="http://moex.com/a2197" TargetMode="External"/><Relationship Id="rId30" Type="http://schemas.openxmlformats.org/officeDocument/2006/relationships/hyperlink" Target="http://moex.com/ru/index/RUCBITRBB3Y/archive" TargetMode="External"/><Relationship Id="rId35" Type="http://schemas.openxmlformats.org/officeDocument/2006/relationships/theme" Target="theme/theme1.xml"/><Relationship Id="rId8" Type="http://schemas.openxmlformats.org/officeDocument/2006/relationships/hyperlink" Target="consultantplus://offline/ref=4DD67D4866613A931CE2E1C12583F4F27CF2D5350DF67CEFBD250ED4C3F78CAB121D81318E086F2D591D260911U8rEK"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treasury.gov/resource-center/data-chart-center/interest-rates/pages/TextView.aspx?data=yield" TargetMode="External"/><Relationship Id="rId3" Type="http://schemas.openxmlformats.org/officeDocument/2006/relationships/hyperlink" Target="https://www.ecb.europa.eu/stats/financial_markets_and_interest_rates/euro_area_yield_curves/html/index.en.html" TargetMode="External"/><Relationship Id="rId7" Type="http://schemas.openxmlformats.org/officeDocument/2006/relationships/hyperlink" Target="https://www.sofrrate.com/" TargetMode="External"/><Relationship Id="rId2" Type="http://schemas.openxmlformats.org/officeDocument/2006/relationships/hyperlink" Target="https://www.treasury.gov/resource-center/data-chart-center/interest-rates/pages/TextView.aspx?data=yield" TargetMode="External"/><Relationship Id="rId1" Type="http://schemas.openxmlformats.org/officeDocument/2006/relationships/hyperlink" Target="https://www.moex.com/ru/marketdata/indices/state/g-curve/" TargetMode="External"/><Relationship Id="rId6" Type="http://schemas.openxmlformats.org/officeDocument/2006/relationships/hyperlink" Target="https://www.moex.com/s2532" TargetMode="External"/><Relationship Id="rId5" Type="http://schemas.openxmlformats.org/officeDocument/2006/relationships/hyperlink" Target="http://www.cbr.ru/statistics/?PrtId=int_rat&amp;ch=PAR_11965" TargetMode="External"/><Relationship Id="rId10" Type="http://schemas.openxmlformats.org/officeDocument/2006/relationships/hyperlink" Target="https://www.ecb.europa.eu/stats/financial_markets_and_interest_rates/euro_area_yield_curves/html/index.en.html" TargetMode="External"/><Relationship Id="rId4" Type="http://schemas.openxmlformats.org/officeDocument/2006/relationships/hyperlink" Target="http://www.cbr.ru/statistics/?PrtId=int_rat&amp;ch=PAR_11965" TargetMode="External"/><Relationship Id="rId9" Type="http://schemas.openxmlformats.org/officeDocument/2006/relationships/hyperlink" Target="https://www.ecb.europa.eu/stats/financial_markets_and_interest_rates/euro_short-term_rate/html/index.en.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B9ADD7-7EF7-4C17-A521-7D1E7A373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61</Pages>
  <Words>35120</Words>
  <Characters>200185</Characters>
  <Application>Microsoft Office Word</Application>
  <DocSecurity>0</DocSecurity>
  <Lines>1668</Lines>
  <Paragraphs>469</Paragraphs>
  <ScaleCrop>false</ScaleCrop>
  <HeadingPairs>
    <vt:vector size="2" baseType="variant">
      <vt:variant>
        <vt:lpstr>Название</vt:lpstr>
      </vt:variant>
      <vt:variant>
        <vt:i4>1</vt:i4>
      </vt:variant>
    </vt:vector>
  </HeadingPairs>
  <TitlesOfParts>
    <vt:vector size="1" baseType="lpstr">
      <vt:lpstr/>
    </vt:vector>
  </TitlesOfParts>
  <Company>Infinitum A.S.</Company>
  <LinksUpToDate>false</LinksUpToDate>
  <CharactersWithSpaces>234836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Ю.Гриднева</dc:creator>
  <cp:lastModifiedBy>Медведева Анна</cp:lastModifiedBy>
  <cp:revision>7</cp:revision>
  <cp:lastPrinted>2021-06-22T11:53:00Z</cp:lastPrinted>
  <dcterms:created xsi:type="dcterms:W3CDTF">2023-11-21T13:44:00Z</dcterms:created>
  <dcterms:modified xsi:type="dcterms:W3CDTF">2024-06-27T09:55:00Z</dcterms:modified>
</cp:coreProperties>
</file>