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7AFDF480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D16B9" w:rsidRPr="00257EE2">
              <w:rPr>
                <w:rFonts w:ascii="Verdana" w:hAnsi="Verdana"/>
              </w:rPr>
              <w:t>«</w:t>
            </w:r>
            <w:r w:rsidR="00AD16B9">
              <w:rPr>
                <w:rFonts w:ascii="Verdana" w:hAnsi="Verdana"/>
              </w:rPr>
              <w:t>22</w:t>
            </w:r>
            <w:r w:rsidR="00AD16B9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3D1DB6D9" w14:textId="77777777"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37FC85AA" w14:textId="77777777"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77777777" w:rsidR="00B43B66" w:rsidRPr="00257EE2" w:rsidRDefault="00553F43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Г.Н. Панкратова</w:t>
            </w:r>
            <w:r w:rsidRPr="00257EE2" w:rsidDel="00BA2477">
              <w:rPr>
                <w:rFonts w:ascii="Verdana" w:hAnsi="Verdana"/>
              </w:rPr>
              <w:t xml:space="preserve"> </w:t>
            </w:r>
            <w:r w:rsidRPr="00257EE2">
              <w:rPr>
                <w:rFonts w:ascii="Verdana" w:hAnsi="Verdana"/>
              </w:rPr>
              <w:t xml:space="preserve">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156AF678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D16B9" w:rsidRPr="00257EE2">
              <w:rPr>
                <w:rFonts w:ascii="Verdana" w:hAnsi="Verdana"/>
              </w:rPr>
              <w:t>«</w:t>
            </w:r>
            <w:r w:rsidR="00AD16B9">
              <w:rPr>
                <w:rFonts w:ascii="Verdana" w:hAnsi="Verdana"/>
              </w:rPr>
              <w:t>22</w:t>
            </w:r>
            <w:r w:rsidR="00AD16B9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</w:t>
            </w:r>
            <w:proofErr w:type="spellStart"/>
            <w:r w:rsidRPr="00257EE2">
              <w:rPr>
                <w:rFonts w:ascii="Verdana" w:hAnsi="Verdana"/>
              </w:rPr>
              <w:t>Лестовкин</w:t>
            </w:r>
            <w:proofErr w:type="spellEnd"/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77777777" w:rsidR="008E71A5" w:rsidRPr="00257EE2" w:rsidRDefault="008E71A5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ЗАКРЫТОГО ПАЕВОГО ИНВЕСТИЦИОННОГО </w:t>
      </w:r>
    </w:p>
    <w:p w14:paraId="7DAB3605" w14:textId="77777777" w:rsidR="00202745" w:rsidRPr="00257EE2" w:rsidRDefault="002B1442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КОМБИНИРОВАННОГО</w:t>
      </w:r>
      <w:r w:rsidR="00D27E0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ФОНДА</w:t>
      </w:r>
    </w:p>
    <w:p w14:paraId="2C446956" w14:textId="437E25DF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7A338D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И</w:t>
      </w:r>
      <w:r w:rsidR="007A338D"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нвест</w:t>
      </w:r>
      <w:r w:rsidR="007A338D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-</w:t>
      </w:r>
      <w:r w:rsidR="00F90644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val="en-US" w:eastAsia="ru-RU"/>
        </w:rPr>
        <w:t>V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77777777" w:rsidR="00922A22" w:rsidRPr="00E92C1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Настоящие Изменения и дополнения в Правила определения стоимости чистых активов подлежат применению с 01.07.2023г.</w:t>
      </w:r>
    </w:p>
    <w:p w14:paraId="7BABD13E" w14:textId="77777777" w:rsidR="00922A22" w:rsidRDefault="00922A22" w:rsidP="00922A22">
      <w:pPr>
        <w:pStyle w:val="ac"/>
        <w:widowControl w:val="0"/>
        <w:tabs>
          <w:tab w:val="left" w:pos="1276"/>
          <w:tab w:val="left" w:pos="6300"/>
        </w:tabs>
        <w:spacing w:before="144" w:after="144" w:line="240" w:lineRule="auto"/>
        <w:ind w:left="851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098723F3" w14:textId="77777777" w:rsidR="00922A22" w:rsidRPr="00E92C12" w:rsidRDefault="00922A22" w:rsidP="00922A22">
      <w:pPr>
        <w:pStyle w:val="ac"/>
        <w:widowControl w:val="0"/>
        <w:numPr>
          <w:ilvl w:val="0"/>
          <w:numId w:val="116"/>
        </w:numPr>
        <w:tabs>
          <w:tab w:val="left" w:pos="1276"/>
          <w:tab w:val="left" w:pos="6300"/>
        </w:tabs>
        <w:spacing w:before="144" w:after="144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В связи с прекращением Национальной финансовой организацией (НФА) публикации индикатора </w:t>
      </w:r>
      <w:proofErr w:type="spellStart"/>
      <w:r w:rsidRPr="00E92C12">
        <w:rPr>
          <w:rFonts w:ascii="Times New Roman" w:eastAsia="Arial" w:hAnsi="Times New Roman"/>
          <w:sz w:val="20"/>
          <w:szCs w:val="20"/>
          <w:lang w:eastAsia="ru-RU"/>
        </w:rPr>
        <w:t>MosPrime</w:t>
      </w:r>
      <w:proofErr w:type="spellEnd"/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 Rate, 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внести изменение  в </w:t>
      </w:r>
      <w:r w:rsidRPr="00BE1A61">
        <w:rPr>
          <w:rFonts w:ascii="Times New Roman" w:eastAsia="Arial" w:hAnsi="Times New Roman"/>
          <w:sz w:val="20"/>
          <w:szCs w:val="20"/>
          <w:lang w:eastAsia="ru-RU"/>
        </w:rPr>
        <w:t>Приложении №5 к действующим Правилам определения стоимости чистых активов в части определения безрисковой ставки, а именно:</w:t>
      </w:r>
      <w:r>
        <w:rPr>
          <w:rFonts w:ascii="Verdana" w:hAnsi="Verdana"/>
          <w:color w:val="1F497D"/>
          <w:sz w:val="20"/>
          <w:szCs w:val="20"/>
        </w:rPr>
        <w:t xml:space="preserve"> </w:t>
      </w:r>
    </w:p>
    <w:p w14:paraId="207ACE76" w14:textId="77777777" w:rsidR="00922A22" w:rsidRPr="00E92C12" w:rsidRDefault="00922A22" w:rsidP="00922A22">
      <w:pPr>
        <w:widowControl w:val="0"/>
        <w:tabs>
          <w:tab w:val="left" w:pos="1276"/>
          <w:tab w:val="left" w:pos="6300"/>
        </w:tabs>
        <w:spacing w:before="144" w:after="144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p w14:paraId="224F4CA7" w14:textId="77777777" w:rsidR="00922A22" w:rsidRPr="00341704" w:rsidRDefault="00922A22" w:rsidP="00922A22">
      <w:pPr>
        <w:spacing w:after="0" w:line="360" w:lineRule="auto"/>
        <w:ind w:firstLine="709"/>
        <w:jc w:val="both"/>
        <w:rPr>
          <w:rFonts w:ascii="Verdana" w:hAnsi="Verdana"/>
          <w:b/>
          <w:szCs w:val="20"/>
        </w:rPr>
      </w:pPr>
      <w:r w:rsidRPr="00341704">
        <w:rPr>
          <w:rFonts w:ascii="Verdana" w:hAnsi="Verdana"/>
          <w:b/>
          <w:szCs w:val="20"/>
        </w:rPr>
        <w:t>Безрисковая ставка:</w:t>
      </w:r>
    </w:p>
    <w:p w14:paraId="573C5698" w14:textId="77777777" w:rsidR="00922A22" w:rsidRPr="00C92CCC" w:rsidRDefault="00922A22" w:rsidP="00922A22">
      <w:pPr>
        <w:numPr>
          <w:ilvl w:val="0"/>
          <w:numId w:val="5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C92CCC">
        <w:rPr>
          <w:rFonts w:ascii="Times New Roman" w:hAnsi="Times New Roman"/>
          <w:sz w:val="20"/>
          <w:szCs w:val="20"/>
          <w:u w:val="single"/>
        </w:rPr>
        <w:t xml:space="preserve">В российских рублях: </w:t>
      </w:r>
    </w:p>
    <w:p w14:paraId="40D2DA56" w14:textId="6ADE2E7A"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 xml:space="preserve">Для задолженности со сроком до погашения, не превышающим 1 календарный день – ставка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C90AEB">
        <w:rPr>
          <w:rFonts w:ascii="Times New Roman" w:hAnsi="Times New Roman"/>
          <w:sz w:val="20"/>
          <w:szCs w:val="20"/>
          <w:vertAlign w:val="superscript"/>
        </w:rPr>
        <w:footnoteReference w:id="2"/>
      </w:r>
      <w:r w:rsidRPr="00C92CCC">
        <w:rPr>
          <w:rFonts w:ascii="Times New Roman" w:hAnsi="Times New Roman"/>
          <w:sz w:val="20"/>
          <w:szCs w:val="20"/>
        </w:rPr>
        <w:t xml:space="preserve"> (ставка RUONIA</w:t>
      </w:r>
      <w:r w:rsidRPr="00C90AEB">
        <w:rPr>
          <w:rFonts w:ascii="Times New Roman" w:hAnsi="Times New Roman"/>
          <w:sz w:val="20"/>
          <w:szCs w:val="20"/>
          <w:vertAlign w:val="superscript"/>
        </w:rPr>
        <w:footnoteReference w:id="3"/>
      </w:r>
      <w:r w:rsidRPr="00C92CCC">
        <w:rPr>
          <w:rFonts w:ascii="Times New Roman" w:hAnsi="Times New Roman"/>
          <w:sz w:val="20"/>
          <w:szCs w:val="20"/>
        </w:rPr>
        <w:t xml:space="preserve">  после прекращения расчета и публикации ставки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C92CCC">
        <w:rPr>
          <w:rFonts w:ascii="Times New Roman" w:hAnsi="Times New Roman"/>
          <w:sz w:val="20"/>
          <w:szCs w:val="20"/>
        </w:rPr>
        <w:t>) - для задолженности, срок погашения которой не превышает 1 календарный день;</w:t>
      </w:r>
    </w:p>
    <w:p w14:paraId="740EFC44" w14:textId="77777777"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Ставка, определяемая из G-кривой (кривой бескупонной доходности Московской биржи</w:t>
      </w:r>
      <w:r w:rsidRPr="00C90AEB">
        <w:rPr>
          <w:rFonts w:ascii="Times New Roman" w:hAnsi="Times New Roman"/>
          <w:sz w:val="20"/>
          <w:szCs w:val="20"/>
          <w:vertAlign w:val="superscript"/>
        </w:rPr>
        <w:footnoteReference w:id="4"/>
      </w:r>
      <w:r w:rsidRPr="00C92CCC">
        <w:rPr>
          <w:rFonts w:ascii="Times New Roman" w:hAnsi="Times New Roman"/>
          <w:sz w:val="20"/>
          <w:szCs w:val="20"/>
        </w:rPr>
        <w:t>), построенной по российским государственным облигациям - для задолженности со сроком до погашения, превышающим 1 календарный день.</w:t>
      </w:r>
    </w:p>
    <w:p w14:paraId="7DF0B389" w14:textId="77777777"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Для целей расчета безрисковой ставки, используются следующие округления:</w:t>
      </w:r>
    </w:p>
    <w:p w14:paraId="16249246" w14:textId="77777777" w:rsidR="00922A22" w:rsidRPr="00C92CCC" w:rsidRDefault="00922A22" w:rsidP="00922A2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Значение срока ставки определяется до 4 знаков после запятой;</w:t>
      </w:r>
    </w:p>
    <w:p w14:paraId="140C3284" w14:textId="77777777"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Итоговое значение ставки определяется до 2 знаков после запятой.</w:t>
      </w:r>
    </w:p>
    <w:p w14:paraId="32FAB670" w14:textId="77777777" w:rsidR="00922A22" w:rsidRPr="006A1577" w:rsidRDefault="00922A22" w:rsidP="00922A22">
      <w:pPr>
        <w:spacing w:line="360" w:lineRule="auto"/>
        <w:ind w:left="993"/>
        <w:rPr>
          <w:rFonts w:ascii="Times New Roman" w:hAnsi="Times New Roman"/>
          <w:b/>
          <w:bCs/>
          <w:sz w:val="20"/>
          <w:szCs w:val="20"/>
        </w:rPr>
      </w:pPr>
      <w:r w:rsidRPr="006A1577">
        <w:rPr>
          <w:rFonts w:ascii="Times New Roman" w:hAnsi="Times New Roman"/>
          <w:b/>
          <w:bCs/>
          <w:sz w:val="20"/>
          <w:szCs w:val="20"/>
        </w:rPr>
        <w:t xml:space="preserve">3.Внести изменение в порядок расчета Показателей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Cost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of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Risk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(</w:t>
      </w:r>
      <w:proofErr w:type="spellStart"/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CoR</w:t>
      </w:r>
      <w:proofErr w:type="spellEnd"/>
      <w:r w:rsidRPr="006A1577">
        <w:rPr>
          <w:rFonts w:ascii="Times New Roman" w:hAnsi="Times New Roman"/>
          <w:b/>
          <w:bCs/>
          <w:sz w:val="20"/>
          <w:szCs w:val="20"/>
        </w:rPr>
        <w:t xml:space="preserve">), используемые для расчета справедливой стоимости задолженности физических лиц, изложив их в следующей редакции: </w:t>
      </w:r>
    </w:p>
    <w:p w14:paraId="5735C146" w14:textId="77777777" w:rsidR="00922A22" w:rsidRPr="006A1577" w:rsidRDefault="00922A22" w:rsidP="00922A22">
      <w:pPr>
        <w:pStyle w:val="a0"/>
        <w:numPr>
          <w:ilvl w:val="0"/>
          <w:numId w:val="0"/>
        </w:numPr>
        <w:tabs>
          <w:tab w:val="left" w:pos="1276"/>
          <w:tab w:val="left" w:pos="1418"/>
        </w:tabs>
        <w:spacing w:before="0" w:after="0" w:line="360" w:lineRule="auto"/>
        <w:jc w:val="both"/>
        <w:rPr>
          <w:rFonts w:eastAsia="Arial"/>
          <w:bCs w:val="0"/>
          <w:sz w:val="20"/>
          <w:szCs w:val="20"/>
        </w:rPr>
      </w:pPr>
      <w:r w:rsidRPr="006A1577">
        <w:rPr>
          <w:rFonts w:eastAsia="Arial"/>
          <w:bCs w:val="0"/>
          <w:sz w:val="20"/>
          <w:szCs w:val="20"/>
        </w:rPr>
        <w:t xml:space="preserve">«.Показатели Cost </w:t>
      </w:r>
      <w:proofErr w:type="spellStart"/>
      <w:r w:rsidRPr="006A1577">
        <w:rPr>
          <w:rFonts w:eastAsia="Arial"/>
          <w:bCs w:val="0"/>
          <w:sz w:val="20"/>
          <w:szCs w:val="20"/>
        </w:rPr>
        <w:t>of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 Risk (</w:t>
      </w:r>
      <w:proofErr w:type="spellStart"/>
      <w:r w:rsidRPr="006A1577">
        <w:rPr>
          <w:rFonts w:eastAsia="Arial"/>
          <w:bCs w:val="0"/>
          <w:sz w:val="20"/>
          <w:szCs w:val="20"/>
        </w:rPr>
        <w:t>CoR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), используемые для расчета справедливой стоимости задолженности физических лиц. </w:t>
      </w:r>
    </w:p>
    <w:p w14:paraId="44448B6C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необеспеченных прав требования к физическим лицам используется отношение резерва под обесценение усредненного портфеля (усреднение производится по следующим портфелям: потребительские и прочие ссуды физическим лицам, кредитные карты и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овердрафтное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кредитование физических лиц) кредитов, к валовой балансовой стоимости таких кредитов, по данным отчетности ПАО «Сбербанк» за</w:t>
      </w:r>
      <w:r w:rsidR="00FC6D5E">
        <w:rPr>
          <w:rFonts w:ascii="Times New Roman" w:eastAsia="Arial" w:hAnsi="Times New Roman"/>
          <w:sz w:val="20"/>
          <w:szCs w:val="20"/>
        </w:rPr>
        <w:t xml:space="preserve">  2022</w:t>
      </w:r>
      <w:r w:rsidRPr="00E92C12">
        <w:rPr>
          <w:rFonts w:ascii="Times New Roman" w:eastAsia="Arial" w:hAnsi="Times New Roman"/>
          <w:sz w:val="20"/>
          <w:szCs w:val="20"/>
        </w:rPr>
        <w:t xml:space="preserve"> год (12 месяцев). </w:t>
      </w:r>
    </w:p>
    <w:p w14:paraId="14A584C8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оценки стандартных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1, для оценки кредитно-обесцененных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2.</w:t>
      </w:r>
    </w:p>
    <w:tbl>
      <w:tblPr>
        <w:tblW w:w="9717" w:type="dxa"/>
        <w:tblInd w:w="93" w:type="dxa"/>
        <w:tblLook w:val="04A0" w:firstRow="1" w:lastRow="0" w:firstColumn="1" w:lastColumn="0" w:noHBand="0" w:noVBand="1"/>
      </w:tblPr>
      <w:tblGrid>
        <w:gridCol w:w="6638"/>
        <w:gridCol w:w="1416"/>
        <w:gridCol w:w="1663"/>
      </w:tblGrid>
      <w:tr w:rsidR="00922A22" w:rsidRPr="00E92C12" w14:paraId="3255379B" w14:textId="77777777" w:rsidTr="00A567D4">
        <w:trPr>
          <w:trHeight w:val="315"/>
        </w:trPr>
        <w:tc>
          <w:tcPr>
            <w:tcW w:w="9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CE39844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Необеспеченная задолженность физических лиц</w:t>
            </w:r>
          </w:p>
        </w:tc>
      </w:tr>
      <w:tr w:rsidR="00922A22" w:rsidRPr="00E92C12" w14:paraId="5CDABB4E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42F30E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306F9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F62B5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14:paraId="1826D75D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07B59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098E146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3 995,80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406E90A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223,20</w:t>
            </w:r>
          </w:p>
        </w:tc>
      </w:tr>
      <w:tr w:rsidR="00922A22" w:rsidRPr="00E92C12" w14:paraId="412808A4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0C8A3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5BDD21C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109,30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E3277BB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57,80</w:t>
            </w:r>
          </w:p>
        </w:tc>
      </w:tr>
      <w:tr w:rsidR="00922A22" w:rsidRPr="00E92C12" w14:paraId="7C8C3D0C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04EE6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33FA6CC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2,74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EEA066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25,90</w:t>
            </w:r>
          </w:p>
        </w:tc>
      </w:tr>
    </w:tbl>
    <w:p w14:paraId="2B0EE6F4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прав требования к физическим лицам, обеспеченных не менее чем на 80% от номинальной стоимости задолженности залогом жилой недвижимости, используется отношение резерва под обесценение портфеля ипотечных кредитов, к валовой балансовой стоимости таких кредитов, по данным отчетности ПАО «Сбербанк» за </w:t>
      </w:r>
      <w:r w:rsidR="00FC6D5E">
        <w:rPr>
          <w:rFonts w:ascii="Times New Roman" w:eastAsia="Arial" w:hAnsi="Times New Roman"/>
          <w:sz w:val="20"/>
          <w:szCs w:val="20"/>
        </w:rPr>
        <w:t xml:space="preserve">2022 </w:t>
      </w:r>
      <w:r w:rsidRPr="00E92C12">
        <w:rPr>
          <w:rFonts w:ascii="Times New Roman" w:eastAsia="Arial" w:hAnsi="Times New Roman"/>
          <w:sz w:val="20"/>
          <w:szCs w:val="20"/>
        </w:rPr>
        <w:t xml:space="preserve">год (12 месяцев). </w:t>
      </w:r>
    </w:p>
    <w:tbl>
      <w:tblPr>
        <w:tblW w:w="9371" w:type="dxa"/>
        <w:jc w:val="center"/>
        <w:tblLook w:val="04A0" w:firstRow="1" w:lastRow="0" w:firstColumn="1" w:lastColumn="0" w:noHBand="0" w:noVBand="1"/>
      </w:tblPr>
      <w:tblGrid>
        <w:gridCol w:w="6819"/>
        <w:gridCol w:w="1276"/>
        <w:gridCol w:w="1276"/>
      </w:tblGrid>
      <w:tr w:rsidR="00922A22" w:rsidRPr="00E92C12" w14:paraId="36AC0242" w14:textId="77777777" w:rsidTr="00A567D4">
        <w:trPr>
          <w:trHeight w:val="315"/>
          <w:jc w:val="center"/>
        </w:trPr>
        <w:tc>
          <w:tcPr>
            <w:tcW w:w="9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5BEE033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Обеспеченная задолженность физических лиц</w:t>
            </w:r>
          </w:p>
        </w:tc>
      </w:tr>
      <w:tr w:rsidR="00922A22" w:rsidRPr="00E92C12" w14:paraId="216E0557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F7005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96C0C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2E87E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14:paraId="412CC670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F8CBC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956CFA0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7 144,30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2682A55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348,00</w:t>
            </w:r>
          </w:p>
        </w:tc>
      </w:tr>
      <w:tr w:rsidR="00922A22" w:rsidRPr="00E92C12" w14:paraId="42D8DEC1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57C12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35A005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048C5CB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18,90</w:t>
            </w:r>
          </w:p>
        </w:tc>
      </w:tr>
      <w:tr w:rsidR="00922A22" w:rsidRPr="00E92C12" w14:paraId="71ED8C60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65C12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466DCBA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92EC2A1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5,43</w:t>
            </w:r>
          </w:p>
        </w:tc>
      </w:tr>
    </w:tbl>
    <w:p w14:paraId="412F42AD" w14:textId="77777777" w:rsidR="00922A22" w:rsidRPr="00E92C12" w:rsidRDefault="00922A22" w:rsidP="00922A22">
      <w:pPr>
        <w:pStyle w:val="ac"/>
        <w:spacing w:line="360" w:lineRule="auto"/>
        <w:ind w:left="0" w:firstLine="709"/>
        <w:rPr>
          <w:rFonts w:ascii="Times New Roman" w:eastAsia="Arial" w:hAnsi="Times New Roman"/>
          <w:sz w:val="20"/>
          <w:szCs w:val="20"/>
        </w:rPr>
      </w:pPr>
    </w:p>
    <w:p w14:paraId="4D1DADCE" w14:textId="77777777" w:rsidR="0076228C" w:rsidRPr="00E92C12" w:rsidRDefault="00922A22" w:rsidP="00E92C12">
      <w:pPr>
        <w:spacing w:line="360" w:lineRule="auto"/>
        <w:ind w:firstLine="709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Если права требования к физическому лицу обеспечены иным видом имущества (в том числе, поручительством, гарантией, опционным соглашением, страховкой), то для оценки с учетом обеспечения используется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, рассчитанный по необеспеченным портфелям кредитов по данным отчетности банков, составленной в соответствии с МСФО, при этом величина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приравнивается к PD. LGD с учетом обеспечения определяется соответствии с Разделом 5 настоящего Приложения</w:t>
      </w:r>
      <w:r w:rsidDel="00922A22">
        <w:rPr>
          <w:rFonts w:ascii="Verdana" w:eastAsia="Times New Roman" w:hAnsi="Verdana" w:cs="Arial"/>
          <w:b/>
          <w:bCs/>
          <w:iCs/>
          <w:caps/>
          <w:color w:val="943634"/>
          <w:sz w:val="24"/>
          <w:szCs w:val="24"/>
          <w:lang w:eastAsia="ru-RU"/>
        </w:rPr>
        <w:t xml:space="preserve"> </w:t>
      </w:r>
      <w:r w:rsidR="0076228C" w:rsidRPr="00E92C12">
        <w:rPr>
          <w:rFonts w:ascii="Times New Roman" w:eastAsia="Arial" w:hAnsi="Times New Roman"/>
          <w:sz w:val="20"/>
          <w:szCs w:val="20"/>
        </w:rPr>
        <w:t>.</w:t>
      </w:r>
    </w:p>
    <w:p w14:paraId="06A19234" w14:textId="77777777" w:rsidR="00707940" w:rsidRDefault="00707940" w:rsidP="00707940">
      <w:pPr>
        <w:pStyle w:val="ac"/>
        <w:tabs>
          <w:tab w:val="left" w:pos="1276"/>
          <w:tab w:val="left" w:pos="6300"/>
        </w:tabs>
        <w:spacing w:before="144" w:after="144"/>
        <w:ind w:left="851"/>
        <w:rPr>
          <w:rFonts w:eastAsia="Arial"/>
          <w:sz w:val="20"/>
          <w:szCs w:val="20"/>
        </w:rPr>
      </w:pPr>
    </w:p>
    <w:p w14:paraId="7F728A9C" w14:textId="77777777" w:rsidR="005970B9" w:rsidRPr="008C753E" w:rsidRDefault="005970B9" w:rsidP="00E92C12">
      <w:pPr>
        <w:spacing w:line="360" w:lineRule="auto"/>
        <w:ind w:left="-1701" w:firstLine="567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1"/>
      <w:bookmarkEnd w:id="2"/>
      <w:bookmarkEnd w:id="3"/>
      <w:bookmarkEnd w:id="0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D89B8" w14:textId="77777777" w:rsidR="008806F7" w:rsidRDefault="008806F7" w:rsidP="0095677F">
      <w:pPr>
        <w:spacing w:after="0" w:line="240" w:lineRule="auto"/>
      </w:pPr>
      <w:r>
        <w:separator/>
      </w:r>
    </w:p>
  </w:endnote>
  <w:endnote w:type="continuationSeparator" w:id="0">
    <w:p w14:paraId="7AFF2010" w14:textId="77777777" w:rsidR="008806F7" w:rsidRDefault="008806F7" w:rsidP="0095677F">
      <w:pPr>
        <w:spacing w:after="0" w:line="240" w:lineRule="auto"/>
      </w:pPr>
      <w:r>
        <w:continuationSeparator/>
      </w:r>
    </w:p>
  </w:endnote>
  <w:endnote w:type="continuationNotice" w:id="1">
    <w:p w14:paraId="059FBA71" w14:textId="77777777" w:rsidR="008806F7" w:rsidRDefault="00880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203C">
      <w:rPr>
        <w:noProof/>
      </w:rPr>
      <w:t>1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09D9" w14:textId="77777777" w:rsidR="008806F7" w:rsidRDefault="008806F7" w:rsidP="0095677F">
      <w:pPr>
        <w:spacing w:after="0" w:line="240" w:lineRule="auto"/>
      </w:pPr>
      <w:r>
        <w:separator/>
      </w:r>
    </w:p>
  </w:footnote>
  <w:footnote w:type="continuationSeparator" w:id="0">
    <w:p w14:paraId="2E17809A" w14:textId="77777777" w:rsidR="008806F7" w:rsidRDefault="008806F7" w:rsidP="0095677F">
      <w:pPr>
        <w:spacing w:after="0" w:line="240" w:lineRule="auto"/>
      </w:pPr>
      <w:r>
        <w:continuationSeparator/>
      </w:r>
    </w:p>
  </w:footnote>
  <w:footnote w:type="continuationNotice" w:id="1">
    <w:p w14:paraId="5587B322" w14:textId="77777777" w:rsidR="008806F7" w:rsidRDefault="008806F7">
      <w:pPr>
        <w:spacing w:after="0" w:line="240" w:lineRule="auto"/>
      </w:pPr>
    </w:p>
  </w:footnote>
  <w:footnote w:id="2">
    <w:p w14:paraId="08BE53BE" w14:textId="77777777" w:rsidR="00922A22" w:rsidRPr="00280039" w:rsidRDefault="00922A22" w:rsidP="00922A22">
      <w:pPr>
        <w:rPr>
          <w:rFonts w:ascii="Verdana" w:hAnsi="Verdana"/>
          <w:sz w:val="18"/>
          <w:szCs w:val="20"/>
        </w:rPr>
      </w:pPr>
      <w:r w:rsidRPr="00280039">
        <w:rPr>
          <w:rStyle w:val="ab"/>
        </w:rPr>
        <w:footnoteRef/>
      </w:r>
      <w:r w:rsidRPr="00280039">
        <w:rPr>
          <w:sz w:val="18"/>
        </w:rPr>
        <w:t xml:space="preserve"> </w:t>
      </w:r>
      <w:hyperlink r:id="rId1" w:history="1">
        <w:r w:rsidRPr="00280039">
          <w:rPr>
            <w:rStyle w:val="a5"/>
            <w:sz w:val="18"/>
          </w:rPr>
          <w:t>http://www.mosprime.com/</w:t>
        </w:r>
      </w:hyperlink>
    </w:p>
  </w:footnote>
  <w:footnote w:id="3">
    <w:p w14:paraId="089F499D" w14:textId="77777777"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2" w:history="1">
        <w:r w:rsidRPr="00280039">
          <w:rPr>
            <w:rStyle w:val="a5"/>
            <w:sz w:val="18"/>
          </w:rPr>
          <w:t>https</w:t>
        </w:r>
        <w:r w:rsidRPr="00785058">
          <w:rPr>
            <w:rStyle w:val="a5"/>
            <w:sz w:val="18"/>
          </w:rPr>
          <w:t>://ruonia.ru</w:t>
        </w:r>
      </w:hyperlink>
    </w:p>
  </w:footnote>
  <w:footnote w:id="4">
    <w:p w14:paraId="61D7B83E" w14:textId="77777777"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3" w:history="1">
        <w:r w:rsidRPr="00280039">
          <w:rPr>
            <w:rStyle w:val="a5"/>
            <w:sz w:val="18"/>
          </w:rPr>
          <w:t>https://www.moex.com/s2532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145628">
    <w:abstractNumId w:val="81"/>
  </w:num>
  <w:num w:numId="2" w16cid:durableId="512033536">
    <w:abstractNumId w:val="37"/>
  </w:num>
  <w:num w:numId="3" w16cid:durableId="252789075">
    <w:abstractNumId w:val="110"/>
  </w:num>
  <w:num w:numId="4" w16cid:durableId="1619096674">
    <w:abstractNumId w:val="21"/>
  </w:num>
  <w:num w:numId="5" w16cid:durableId="836461733">
    <w:abstractNumId w:val="99"/>
  </w:num>
  <w:num w:numId="6" w16cid:durableId="1196045685">
    <w:abstractNumId w:val="63"/>
  </w:num>
  <w:num w:numId="7" w16cid:durableId="2123302761">
    <w:abstractNumId w:val="54"/>
  </w:num>
  <w:num w:numId="8" w16cid:durableId="1946493844">
    <w:abstractNumId w:val="13"/>
  </w:num>
  <w:num w:numId="9" w16cid:durableId="801314530">
    <w:abstractNumId w:val="8"/>
  </w:num>
  <w:num w:numId="10" w16cid:durableId="959730070">
    <w:abstractNumId w:val="24"/>
  </w:num>
  <w:num w:numId="11" w16cid:durableId="975765817">
    <w:abstractNumId w:val="101"/>
  </w:num>
  <w:num w:numId="12" w16cid:durableId="1613509586">
    <w:abstractNumId w:val="104"/>
  </w:num>
  <w:num w:numId="13" w16cid:durableId="1977566497">
    <w:abstractNumId w:val="28"/>
  </w:num>
  <w:num w:numId="14" w16cid:durableId="1985574972">
    <w:abstractNumId w:val="65"/>
  </w:num>
  <w:num w:numId="15" w16cid:durableId="443237302">
    <w:abstractNumId w:val="70"/>
  </w:num>
  <w:num w:numId="16" w16cid:durableId="1407798588">
    <w:abstractNumId w:val="22"/>
  </w:num>
  <w:num w:numId="17" w16cid:durableId="1272202348">
    <w:abstractNumId w:val="56"/>
  </w:num>
  <w:num w:numId="18" w16cid:durableId="345789505">
    <w:abstractNumId w:val="111"/>
  </w:num>
  <w:num w:numId="19" w16cid:durableId="554509902">
    <w:abstractNumId w:val="108"/>
  </w:num>
  <w:num w:numId="20" w16cid:durableId="861239415">
    <w:abstractNumId w:val="46"/>
  </w:num>
  <w:num w:numId="21" w16cid:durableId="717124087">
    <w:abstractNumId w:val="86"/>
  </w:num>
  <w:num w:numId="22" w16cid:durableId="318972004">
    <w:abstractNumId w:val="18"/>
  </w:num>
  <w:num w:numId="23" w16cid:durableId="733312157">
    <w:abstractNumId w:val="83"/>
  </w:num>
  <w:num w:numId="24" w16cid:durableId="1905676420">
    <w:abstractNumId w:val="66"/>
  </w:num>
  <w:num w:numId="25" w16cid:durableId="953948969">
    <w:abstractNumId w:val="48"/>
  </w:num>
  <w:num w:numId="26" w16cid:durableId="1432354995">
    <w:abstractNumId w:val="62"/>
  </w:num>
  <w:num w:numId="27" w16cid:durableId="1661230430">
    <w:abstractNumId w:val="113"/>
  </w:num>
  <w:num w:numId="28" w16cid:durableId="2007317513">
    <w:abstractNumId w:val="106"/>
  </w:num>
  <w:num w:numId="29" w16cid:durableId="144320553">
    <w:abstractNumId w:val="15"/>
  </w:num>
  <w:num w:numId="30" w16cid:durableId="1639800404">
    <w:abstractNumId w:val="35"/>
  </w:num>
  <w:num w:numId="31" w16cid:durableId="2114468614">
    <w:abstractNumId w:val="96"/>
  </w:num>
  <w:num w:numId="32" w16cid:durableId="1446266315">
    <w:abstractNumId w:val="95"/>
  </w:num>
  <w:num w:numId="33" w16cid:durableId="452142288">
    <w:abstractNumId w:val="52"/>
  </w:num>
  <w:num w:numId="34" w16cid:durableId="1763409015">
    <w:abstractNumId w:val="23"/>
  </w:num>
  <w:num w:numId="35" w16cid:durableId="1389722273">
    <w:abstractNumId w:val="74"/>
  </w:num>
  <w:num w:numId="36" w16cid:durableId="387844574">
    <w:abstractNumId w:val="45"/>
  </w:num>
  <w:num w:numId="37" w16cid:durableId="943923935">
    <w:abstractNumId w:val="112"/>
  </w:num>
  <w:num w:numId="38" w16cid:durableId="1152258431">
    <w:abstractNumId w:val="33"/>
  </w:num>
  <w:num w:numId="39" w16cid:durableId="219753081">
    <w:abstractNumId w:val="91"/>
  </w:num>
  <w:num w:numId="40" w16cid:durableId="275603131">
    <w:abstractNumId w:val="16"/>
  </w:num>
  <w:num w:numId="41" w16cid:durableId="964190889">
    <w:abstractNumId w:val="90"/>
  </w:num>
  <w:num w:numId="42" w16cid:durableId="630134811">
    <w:abstractNumId w:val="4"/>
  </w:num>
  <w:num w:numId="43" w16cid:durableId="1974363080">
    <w:abstractNumId w:val="61"/>
  </w:num>
  <w:num w:numId="44" w16cid:durableId="2040278151">
    <w:abstractNumId w:val="82"/>
  </w:num>
  <w:num w:numId="45" w16cid:durableId="1535730862">
    <w:abstractNumId w:val="41"/>
  </w:num>
  <w:num w:numId="46" w16cid:durableId="1869371196">
    <w:abstractNumId w:val="20"/>
  </w:num>
  <w:num w:numId="47" w16cid:durableId="455946786">
    <w:abstractNumId w:val="3"/>
  </w:num>
  <w:num w:numId="48" w16cid:durableId="1429693365">
    <w:abstractNumId w:val="14"/>
  </w:num>
  <w:num w:numId="49" w16cid:durableId="381516184">
    <w:abstractNumId w:val="27"/>
  </w:num>
  <w:num w:numId="50" w16cid:durableId="85200276">
    <w:abstractNumId w:val="31"/>
  </w:num>
  <w:num w:numId="51" w16cid:durableId="1150175939">
    <w:abstractNumId w:val="49"/>
  </w:num>
  <w:num w:numId="52" w16cid:durableId="13042043">
    <w:abstractNumId w:val="87"/>
  </w:num>
  <w:num w:numId="53" w16cid:durableId="1841122540">
    <w:abstractNumId w:val="5"/>
  </w:num>
  <w:num w:numId="54" w16cid:durableId="1385065063">
    <w:abstractNumId w:val="88"/>
  </w:num>
  <w:num w:numId="55" w16cid:durableId="763650294">
    <w:abstractNumId w:val="11"/>
  </w:num>
  <w:num w:numId="56" w16cid:durableId="939872594">
    <w:abstractNumId w:val="30"/>
  </w:num>
  <w:num w:numId="57" w16cid:durableId="2023584661">
    <w:abstractNumId w:val="0"/>
  </w:num>
  <w:num w:numId="58" w16cid:durableId="2049720960">
    <w:abstractNumId w:val="100"/>
  </w:num>
  <w:num w:numId="59" w16cid:durableId="358629713">
    <w:abstractNumId w:val="78"/>
  </w:num>
  <w:num w:numId="60" w16cid:durableId="1829590034">
    <w:abstractNumId w:val="39"/>
  </w:num>
  <w:num w:numId="61" w16cid:durableId="511529346">
    <w:abstractNumId w:val="60"/>
  </w:num>
  <w:num w:numId="62" w16cid:durableId="517542322">
    <w:abstractNumId w:val="32"/>
  </w:num>
  <w:num w:numId="63" w16cid:durableId="1715812715">
    <w:abstractNumId w:val="114"/>
  </w:num>
  <w:num w:numId="64" w16cid:durableId="28215202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2794440">
    <w:abstractNumId w:val="84"/>
  </w:num>
  <w:num w:numId="66" w16cid:durableId="1616709720">
    <w:abstractNumId w:val="98"/>
  </w:num>
  <w:num w:numId="67" w16cid:durableId="2049983464">
    <w:abstractNumId w:val="71"/>
  </w:num>
  <w:num w:numId="68" w16cid:durableId="1412384578">
    <w:abstractNumId w:val="10"/>
  </w:num>
  <w:num w:numId="69" w16cid:durableId="2084328966">
    <w:abstractNumId w:val="76"/>
  </w:num>
  <w:num w:numId="70" w16cid:durableId="253822337">
    <w:abstractNumId w:val="44"/>
  </w:num>
  <w:num w:numId="71" w16cid:durableId="799879905">
    <w:abstractNumId w:val="79"/>
  </w:num>
  <w:num w:numId="72" w16cid:durableId="1949698199">
    <w:abstractNumId w:val="97"/>
  </w:num>
  <w:num w:numId="73" w16cid:durableId="594435373">
    <w:abstractNumId w:val="89"/>
  </w:num>
  <w:num w:numId="74" w16cid:durableId="431630193">
    <w:abstractNumId w:val="102"/>
  </w:num>
  <w:num w:numId="75" w16cid:durableId="1338342184">
    <w:abstractNumId w:val="93"/>
  </w:num>
  <w:num w:numId="76" w16cid:durableId="229194594">
    <w:abstractNumId w:val="69"/>
  </w:num>
  <w:num w:numId="77" w16cid:durableId="1894728589">
    <w:abstractNumId w:val="57"/>
  </w:num>
  <w:num w:numId="78" w16cid:durableId="441582853">
    <w:abstractNumId w:val="43"/>
  </w:num>
  <w:num w:numId="79" w16cid:durableId="1116145937">
    <w:abstractNumId w:val="9"/>
  </w:num>
  <w:num w:numId="80" w16cid:durableId="785123876">
    <w:abstractNumId w:val="107"/>
  </w:num>
  <w:num w:numId="81" w16cid:durableId="1380859945">
    <w:abstractNumId w:val="85"/>
  </w:num>
  <w:num w:numId="82" w16cid:durableId="942879332">
    <w:abstractNumId w:val="47"/>
  </w:num>
  <w:num w:numId="83" w16cid:durableId="1072654607">
    <w:abstractNumId w:val="103"/>
  </w:num>
  <w:num w:numId="84" w16cid:durableId="216820240">
    <w:abstractNumId w:val="2"/>
  </w:num>
  <w:num w:numId="85" w16cid:durableId="1388993985">
    <w:abstractNumId w:val="1"/>
  </w:num>
  <w:num w:numId="86" w16cid:durableId="411466830">
    <w:abstractNumId w:val="55"/>
  </w:num>
  <w:num w:numId="87" w16cid:durableId="186863830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163931361">
    <w:abstractNumId w:val="49"/>
  </w:num>
  <w:num w:numId="89" w16cid:durableId="385109216">
    <w:abstractNumId w:val="25"/>
  </w:num>
  <w:num w:numId="90" w16cid:durableId="82532329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166284390">
    <w:abstractNumId w:val="26"/>
  </w:num>
  <w:num w:numId="92" w16cid:durableId="11379144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90514908">
    <w:abstractNumId w:val="17"/>
  </w:num>
  <w:num w:numId="94" w16cid:durableId="1747143691">
    <w:abstractNumId w:val="72"/>
  </w:num>
  <w:num w:numId="95" w16cid:durableId="680085005">
    <w:abstractNumId w:val="50"/>
  </w:num>
  <w:num w:numId="96" w16cid:durableId="1545630408">
    <w:abstractNumId w:val="109"/>
  </w:num>
  <w:num w:numId="97" w16cid:durableId="266347606">
    <w:abstractNumId w:val="6"/>
  </w:num>
  <w:num w:numId="98" w16cid:durableId="142040650">
    <w:abstractNumId w:val="42"/>
  </w:num>
  <w:num w:numId="99" w16cid:durableId="756825856">
    <w:abstractNumId w:val="64"/>
  </w:num>
  <w:num w:numId="100" w16cid:durableId="1084181393">
    <w:abstractNumId w:val="36"/>
  </w:num>
  <w:num w:numId="101" w16cid:durableId="1523399790">
    <w:abstractNumId w:val="77"/>
  </w:num>
  <w:num w:numId="102" w16cid:durableId="1118837513">
    <w:abstractNumId w:val="34"/>
  </w:num>
  <w:num w:numId="103" w16cid:durableId="1497763467">
    <w:abstractNumId w:val="92"/>
  </w:num>
  <w:num w:numId="104" w16cid:durableId="1642494126">
    <w:abstractNumId w:val="40"/>
  </w:num>
  <w:num w:numId="105" w16cid:durableId="1478261717">
    <w:abstractNumId w:val="80"/>
  </w:num>
  <w:num w:numId="106" w16cid:durableId="192106353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874415340">
    <w:abstractNumId w:val="105"/>
  </w:num>
  <w:num w:numId="108" w16cid:durableId="789519196">
    <w:abstractNumId w:val="59"/>
  </w:num>
  <w:num w:numId="109" w16cid:durableId="956182454">
    <w:abstractNumId w:val="58"/>
  </w:num>
  <w:num w:numId="110" w16cid:durableId="47418514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082145937">
    <w:abstractNumId w:val="29"/>
  </w:num>
  <w:num w:numId="112" w16cid:durableId="2108429288">
    <w:abstractNumId w:val="94"/>
  </w:num>
  <w:num w:numId="113" w16cid:durableId="194192755">
    <w:abstractNumId w:val="111"/>
  </w:num>
  <w:num w:numId="114" w16cid:durableId="78186818">
    <w:abstractNumId w:val="19"/>
  </w:num>
  <w:num w:numId="115" w16cid:durableId="2054845844">
    <w:abstractNumId w:val="12"/>
  </w:num>
  <w:num w:numId="116" w16cid:durableId="7071413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59509712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841361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75426097">
    <w:abstractNumId w:val="7"/>
    <w:lvlOverride w:ilvl="0">
      <w:startOverride w:val="4"/>
    </w:lvlOverride>
  </w:num>
  <w:num w:numId="120" w16cid:durableId="8447890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37484200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AEB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183AE94C-97ED-47E9-A506-4D838DC6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ex.com/s2532" TargetMode="External"/><Relationship Id="rId2" Type="http://schemas.openxmlformats.org/officeDocument/2006/relationships/hyperlink" Target="https://www.moex.com/s2532" TargetMode="External"/><Relationship Id="rId1" Type="http://schemas.openxmlformats.org/officeDocument/2006/relationships/hyperlink" Target="http://www.mosprim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3175-7270-4B66-B3C3-B2A3ED2A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Владислава Соколова</cp:lastModifiedBy>
  <cp:revision>3</cp:revision>
  <cp:lastPrinted>2021-06-22T11:53:00Z</cp:lastPrinted>
  <dcterms:created xsi:type="dcterms:W3CDTF">2023-06-15T12:27:00Z</dcterms:created>
  <dcterms:modified xsi:type="dcterms:W3CDTF">2023-06-21T09:06:00Z</dcterms:modified>
</cp:coreProperties>
</file>