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0886B952"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C46D14">
              <w:rPr>
                <w:rFonts w:ascii="Verdana" w:hAnsi="Verdana"/>
              </w:rPr>
              <w:t>21</w:t>
            </w:r>
            <w:r w:rsidR="0030353E" w:rsidRPr="00BE536E">
              <w:rPr>
                <w:rFonts w:ascii="Verdana" w:hAnsi="Verdana"/>
              </w:rPr>
              <w:t xml:space="preserve">» </w:t>
            </w:r>
            <w:r w:rsidR="00C1210C">
              <w:rPr>
                <w:rFonts w:ascii="Verdana" w:hAnsi="Verdana"/>
              </w:rPr>
              <w:t>июля</w:t>
            </w:r>
            <w:r w:rsidR="005960AC" w:rsidRPr="00BE536E">
              <w:rPr>
                <w:rFonts w:ascii="Verdana" w:hAnsi="Verdana"/>
              </w:rPr>
              <w:t xml:space="preserve"> 20</w:t>
            </w:r>
            <w:r w:rsidR="005960AC">
              <w:rPr>
                <w:rFonts w:ascii="Verdana" w:hAnsi="Verdana"/>
              </w:rPr>
              <w:t>23</w:t>
            </w:r>
            <w:r w:rsidR="005960AC"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2931487F"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C46D14">
              <w:rPr>
                <w:rFonts w:ascii="Verdana" w:hAnsi="Verdana"/>
              </w:rPr>
              <w:t>21</w:t>
            </w:r>
            <w:r w:rsidR="0030353E" w:rsidRPr="00BE536E">
              <w:rPr>
                <w:rFonts w:ascii="Verdana" w:hAnsi="Verdana"/>
              </w:rPr>
              <w:t xml:space="preserve">» </w:t>
            </w:r>
            <w:r w:rsidR="00C1210C">
              <w:rPr>
                <w:rFonts w:ascii="Verdana" w:hAnsi="Verdana"/>
              </w:rPr>
              <w:t>июля</w:t>
            </w:r>
            <w:r w:rsidR="005960AC" w:rsidRPr="00BE536E">
              <w:rPr>
                <w:rFonts w:ascii="Verdana" w:hAnsi="Verdana"/>
              </w:rPr>
              <w:t xml:space="preserve"> 202</w:t>
            </w:r>
            <w:r w:rsidR="005960AC">
              <w:rPr>
                <w:rFonts w:ascii="Verdana" w:hAnsi="Verdana"/>
              </w:rPr>
              <w:t>3</w:t>
            </w:r>
            <w:r w:rsidR="005960AC"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7FF72A1D"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E73902">
        <w:rPr>
          <w:rFonts w:ascii="Verdana" w:eastAsia="Times New Roman" w:hAnsi="Verdana" w:cs="Arial"/>
          <w:b/>
          <w:bCs/>
          <w:iCs/>
          <w:caps/>
          <w:color w:val="943634"/>
          <w:sz w:val="28"/>
          <w:szCs w:val="28"/>
          <w:lang w:eastAsia="ru-RU"/>
        </w:rPr>
        <w:t>Инвест-7</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22044134"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C1210C">
        <w:rPr>
          <w:rFonts w:ascii="Verdana" w:hAnsi="Verdana"/>
        </w:rPr>
        <w:t>Инвест-7</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D9E6102"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46E819C3"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4BA5EB55" w14:textId="77777777" w:rsidTr="00FF08F1">
        <w:tc>
          <w:tcPr>
            <w:tcW w:w="9526" w:type="dxa"/>
            <w:shd w:val="clear" w:color="auto" w:fill="auto"/>
          </w:tcPr>
          <w:p w14:paraId="7D9EAED4"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CA7B99"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CA7B99"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CA7B99"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CA7B99"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CA7B99"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CA7B99"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CA7B99"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CA7B99"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CA7B99"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CA7B99"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CA7B99"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CA7B9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CA7B9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CA7B9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CA7B9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CA7B9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CA7B99"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448139E7" w14:textId="7559648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4446ED59"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CA7B99"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CA7B99"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CA7B99"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CA7B99"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237F61BA"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51388797"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751388798"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751388799"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CA7B99"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CA7B99"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lastRenderedPageBreak/>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CA7B99"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lastRenderedPageBreak/>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BE536E" w:rsidRDefault="00CA7B99"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w:t>
      </w:r>
      <w:r w:rsidRPr="00BE536E">
        <w:rPr>
          <w:rFonts w:ascii="Verdana" w:hAnsi="Verdana"/>
          <w:sz w:val="20"/>
          <w:szCs w:val="20"/>
        </w:rPr>
        <w:lastRenderedPageBreak/>
        <w:t xml:space="preserve">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lastRenderedPageBreak/>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lastRenderedPageBreak/>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lastRenderedPageBreak/>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lastRenderedPageBreak/>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w:t>
      </w:r>
      <w:r w:rsidRPr="00BE536E">
        <w:rPr>
          <w:rFonts w:ascii="Verdana" w:eastAsia="Batang" w:hAnsi="Verdana"/>
          <w:i/>
          <w:sz w:val="20"/>
        </w:rPr>
        <w:lastRenderedPageBreak/>
        <w:t>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lastRenderedPageBreak/>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lastRenderedPageBreak/>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CA7B99"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r w:rsidRPr="00BE536E">
        <w:rPr>
          <w:rFonts w:ascii="Verdana" w:hAnsi="Verdana"/>
          <w:sz w:val="20"/>
        </w:rPr>
        <w:lastRenderedPageBreak/>
        <w:t xml:space="preserve">(Annual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lastRenderedPageBreak/>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lastRenderedPageBreak/>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 xml:space="preserve">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w:t>
      </w:r>
      <w:r w:rsidRPr="00BE536E">
        <w:rPr>
          <w:rFonts w:ascii="Verdana" w:eastAsia="Batang" w:hAnsi="Verdana"/>
          <w:i/>
          <w:sz w:val="20"/>
        </w:rPr>
        <w:lastRenderedPageBreak/>
        <w:t>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lastRenderedPageBreak/>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Pr="00BE536E" w:rsidRDefault="00031F3C" w:rsidP="00031F3C">
      <w:pPr>
        <w:spacing w:line="360" w:lineRule="auto"/>
        <w:jc w:val="both"/>
        <w:rPr>
          <w:sz w:val="24"/>
          <w:szCs w:val="24"/>
        </w:rPr>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lastRenderedPageBreak/>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lastRenderedPageBreak/>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0A7FF4A7" w14:textId="77777777" w:rsidR="00031F3C" w:rsidRPr="00BE536E" w:rsidRDefault="00031F3C" w:rsidP="00D05311">
      <w:pPr>
        <w:numPr>
          <w:ilvl w:val="0"/>
          <w:numId w:val="62"/>
        </w:numPr>
        <w:spacing w:after="0" w:line="240" w:lineRule="auto"/>
        <w:ind w:left="0" w:firstLine="709"/>
        <w:jc w:val="both"/>
      </w:pPr>
      <w:r w:rsidRPr="00BE536E">
        <w:t>Локобанк</w:t>
      </w:r>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lastRenderedPageBreak/>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lastRenderedPageBreak/>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lastRenderedPageBreak/>
        <w:br w:type="page"/>
      </w:r>
      <w:r w:rsidR="000506A4" w:rsidRPr="00BE536E" w:rsidDel="000506A4">
        <w:rPr>
          <w:rFonts w:ascii="Verdana" w:hAnsi="Verdana" w:cs="Arial"/>
          <w:bCs/>
          <w:iCs/>
          <w:caps/>
          <w:smallCaps/>
          <w:color w:val="943634"/>
          <w:sz w:val="24"/>
        </w:rPr>
        <w:lastRenderedPageBreak/>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5F79AEFF" w14:textId="76F36C59"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lastRenderedPageBreak/>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19305D55"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A3B5935"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31DA27A9"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02C722A4"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F793EAC"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1966408D"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4537D7D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C8890A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E21E416"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1EE08A4E"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A5F2CC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00452BC1"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78AC48B4"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046E0713"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0C121223" w14:textId="77777777" w:rsidR="00BC55FD" w:rsidRDefault="00BC55FD">
            <w:pPr>
              <w:pStyle w:val="ac"/>
              <w:spacing w:after="0" w:line="240" w:lineRule="auto"/>
              <w:ind w:left="318"/>
              <w:jc w:val="both"/>
              <w:rPr>
                <w:rFonts w:ascii="Verdana" w:hAnsi="Verdana"/>
              </w:rPr>
            </w:pPr>
          </w:p>
          <w:p w14:paraId="2C4E7EF7" w14:textId="37BBC525"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5A6990B0" w14:textId="77777777" w:rsidR="00BC55FD" w:rsidRDefault="00BC55FD">
            <w:pPr>
              <w:jc w:val="both"/>
              <w:rPr>
                <w:rFonts w:ascii="Verdana" w:hAnsi="Verdana"/>
                <w:color w:val="000000"/>
                <w:sz w:val="20"/>
                <w:szCs w:val="20"/>
              </w:rPr>
            </w:pPr>
          </w:p>
        </w:tc>
      </w:tr>
      <w:tr w:rsidR="00BC55FD" w14:paraId="564E95E8"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726881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C3E8A5C"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07E4AABE"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043AF3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A6CCF21"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3782838"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AFAF1F1" w14:textId="77777777" w:rsidR="00BC55FD" w:rsidRDefault="00BC55FD" w:rsidP="00BC55FD">
      <w:pPr>
        <w:rPr>
          <w:lang w:eastAsia="ru-RU"/>
        </w:rPr>
      </w:pPr>
    </w:p>
    <w:p w14:paraId="0E874FEA" w14:textId="77777777" w:rsidR="00BC55FD" w:rsidRDefault="00BC55FD" w:rsidP="00BC55FD">
      <w:pPr>
        <w:rPr>
          <w:lang w:eastAsia="ru-RU"/>
        </w:rPr>
      </w:pPr>
    </w:p>
    <w:p w14:paraId="51D99971" w14:textId="77777777" w:rsidR="00BC55FD" w:rsidRDefault="00BC55FD" w:rsidP="00BC55FD">
      <w:pPr>
        <w:rPr>
          <w:lang w:eastAsia="ru-RU"/>
        </w:rPr>
      </w:pPr>
    </w:p>
    <w:p w14:paraId="722B3DBD" w14:textId="77777777" w:rsidR="00BC55FD" w:rsidRDefault="00BC55FD" w:rsidP="00BC55FD">
      <w:pPr>
        <w:rPr>
          <w:lang w:eastAsia="ru-RU"/>
        </w:rPr>
      </w:pPr>
    </w:p>
    <w:p w14:paraId="2BB7FD4C" w14:textId="77777777" w:rsidR="00BC55FD" w:rsidRPr="00BC55FD" w:rsidRDefault="00BC55FD" w:rsidP="00BC55FD">
      <w:pPr>
        <w:rPr>
          <w:lang w:eastAsia="ru-RU"/>
        </w:rPr>
      </w:pPr>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3AE936DF"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CA7B99"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CA7B99"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CA7B99"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CA7B99"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CA7B99"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CA7B99"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CA7B99"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CA7B99"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CA7B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CA7B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CA7B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CA7B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CA7B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CA7B99"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CA7B99"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CA7B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CA7B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CA7B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CA7B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CA7B99"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CA7B99"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CA7B99"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CA7B99"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CA7B9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CA7B99"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CA7B9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CA7B9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CA7B99"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CA7B99"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CA7B99"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CA7B99"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CA7B99"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CA7B99"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CA7B99"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CA7B9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CA7B9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CA7B9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CA7B9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CA7B9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CA7B99">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Pr="00BE536E" w:rsidRDefault="00A574FA" w:rsidP="00BE536E">
      <w:pPr>
        <w:spacing w:line="360" w:lineRule="auto"/>
        <w:rPr>
          <w:sz w:val="24"/>
          <w:szCs w:val="24"/>
        </w:rPr>
      </w:pPr>
    </w:p>
    <w:bookmarkEnd w:id="36"/>
    <w:p w14:paraId="1BD88D83" w14:textId="127206D5"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1A2D300"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w:t>
      </w:r>
      <w:r>
        <w:rPr>
          <w:rFonts w:asciiTheme="minorHAnsi" w:hAnsiTheme="minorHAnsi" w:cstheme="minorHAnsi"/>
          <w:sz w:val="24"/>
          <w:szCs w:val="24"/>
        </w:rPr>
        <w:lastRenderedPageBreak/>
        <w:t>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D51B" w14:textId="77777777" w:rsidR="00007643" w:rsidRDefault="00007643" w:rsidP="0095677F">
      <w:pPr>
        <w:spacing w:after="0" w:line="240" w:lineRule="auto"/>
      </w:pPr>
      <w:r>
        <w:separator/>
      </w:r>
    </w:p>
  </w:endnote>
  <w:endnote w:type="continuationSeparator" w:id="0">
    <w:p w14:paraId="6BAB6DAF" w14:textId="77777777" w:rsidR="00007643" w:rsidRDefault="00007643" w:rsidP="0095677F">
      <w:pPr>
        <w:spacing w:after="0" w:line="240" w:lineRule="auto"/>
      </w:pPr>
      <w:r>
        <w:continuationSeparator/>
      </w:r>
    </w:p>
  </w:endnote>
  <w:endnote w:type="continuationNotice" w:id="1">
    <w:p w14:paraId="335A176D" w14:textId="77777777" w:rsidR="00007643" w:rsidRDefault="0000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B5414D" w:rsidRDefault="00B5414D">
    <w:pPr>
      <w:jc w:val="right"/>
    </w:pPr>
    <w:r>
      <w:fldChar w:fldCharType="begin"/>
    </w:r>
    <w:r>
      <w:instrText xml:space="preserve"> PAGE   \* MERGEFORMAT </w:instrText>
    </w:r>
    <w:r>
      <w:fldChar w:fldCharType="separate"/>
    </w:r>
    <w:r w:rsidR="00126AB0">
      <w:rPr>
        <w:noProof/>
      </w:rPr>
      <w:t>6</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BFA7" w14:textId="77777777" w:rsidR="00007643" w:rsidRDefault="00007643" w:rsidP="0095677F">
      <w:pPr>
        <w:spacing w:after="0" w:line="240" w:lineRule="auto"/>
      </w:pPr>
      <w:r>
        <w:separator/>
      </w:r>
    </w:p>
  </w:footnote>
  <w:footnote w:type="continuationSeparator" w:id="0">
    <w:p w14:paraId="2E21A4EF" w14:textId="77777777" w:rsidR="00007643" w:rsidRDefault="00007643" w:rsidP="0095677F">
      <w:pPr>
        <w:spacing w:after="0" w:line="240" w:lineRule="auto"/>
      </w:pPr>
      <w:r>
        <w:continuationSeparator/>
      </w:r>
    </w:p>
  </w:footnote>
  <w:footnote w:type="continuationNotice" w:id="1">
    <w:p w14:paraId="1EAD9B85" w14:textId="77777777" w:rsidR="00007643" w:rsidRDefault="00007643">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w:t>
      </w:r>
      <w:r w:rsidRPr="007A390F">
        <w:rPr>
          <w:rStyle w:val="a5"/>
          <w:rFonts w:ascii="Calibri" w:hAnsi="Calibri"/>
          <w:sz w:val="18"/>
        </w:rPr>
        <w:t>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1651527">
    <w:abstractNumId w:val="81"/>
  </w:num>
  <w:num w:numId="2" w16cid:durableId="1172798341">
    <w:abstractNumId w:val="37"/>
  </w:num>
  <w:num w:numId="3" w16cid:durableId="1546331298">
    <w:abstractNumId w:val="110"/>
  </w:num>
  <w:num w:numId="4" w16cid:durableId="1390686100">
    <w:abstractNumId w:val="20"/>
  </w:num>
  <w:num w:numId="5" w16cid:durableId="1394230054">
    <w:abstractNumId w:val="99"/>
  </w:num>
  <w:num w:numId="6" w16cid:durableId="269287919">
    <w:abstractNumId w:val="63"/>
  </w:num>
  <w:num w:numId="7" w16cid:durableId="58328261">
    <w:abstractNumId w:val="54"/>
  </w:num>
  <w:num w:numId="8" w16cid:durableId="740757818">
    <w:abstractNumId w:val="12"/>
  </w:num>
  <w:num w:numId="9" w16cid:durableId="873274763">
    <w:abstractNumId w:val="7"/>
  </w:num>
  <w:num w:numId="10" w16cid:durableId="1990355696">
    <w:abstractNumId w:val="23"/>
  </w:num>
  <w:num w:numId="11" w16cid:durableId="908688433">
    <w:abstractNumId w:val="101"/>
  </w:num>
  <w:num w:numId="12" w16cid:durableId="1940600685">
    <w:abstractNumId w:val="104"/>
  </w:num>
  <w:num w:numId="13" w16cid:durableId="313026107">
    <w:abstractNumId w:val="27"/>
  </w:num>
  <w:num w:numId="14" w16cid:durableId="2069302000">
    <w:abstractNumId w:val="65"/>
  </w:num>
  <w:num w:numId="15" w16cid:durableId="151222789">
    <w:abstractNumId w:val="70"/>
  </w:num>
  <w:num w:numId="16" w16cid:durableId="1876849097">
    <w:abstractNumId w:val="21"/>
  </w:num>
  <w:num w:numId="17" w16cid:durableId="1016036600">
    <w:abstractNumId w:val="56"/>
  </w:num>
  <w:num w:numId="18" w16cid:durableId="150756092">
    <w:abstractNumId w:val="111"/>
  </w:num>
  <w:num w:numId="19" w16cid:durableId="1199662477">
    <w:abstractNumId w:val="108"/>
  </w:num>
  <w:num w:numId="20" w16cid:durableId="732394013">
    <w:abstractNumId w:val="46"/>
  </w:num>
  <w:num w:numId="21" w16cid:durableId="104227713">
    <w:abstractNumId w:val="86"/>
  </w:num>
  <w:num w:numId="22" w16cid:durableId="1475563522">
    <w:abstractNumId w:val="17"/>
  </w:num>
  <w:num w:numId="23" w16cid:durableId="1019432799">
    <w:abstractNumId w:val="83"/>
  </w:num>
  <w:num w:numId="24" w16cid:durableId="695546950">
    <w:abstractNumId w:val="66"/>
  </w:num>
  <w:num w:numId="25" w16cid:durableId="1737124705">
    <w:abstractNumId w:val="48"/>
  </w:num>
  <w:num w:numId="26" w16cid:durableId="712584122">
    <w:abstractNumId w:val="62"/>
  </w:num>
  <w:num w:numId="27" w16cid:durableId="1776711663">
    <w:abstractNumId w:val="113"/>
  </w:num>
  <w:num w:numId="28" w16cid:durableId="233128566">
    <w:abstractNumId w:val="106"/>
  </w:num>
  <w:num w:numId="29" w16cid:durableId="1924877420">
    <w:abstractNumId w:val="14"/>
  </w:num>
  <w:num w:numId="30" w16cid:durableId="1402366845">
    <w:abstractNumId w:val="35"/>
  </w:num>
  <w:num w:numId="31" w16cid:durableId="791628707">
    <w:abstractNumId w:val="96"/>
  </w:num>
  <w:num w:numId="32" w16cid:durableId="709691124">
    <w:abstractNumId w:val="95"/>
  </w:num>
  <w:num w:numId="33" w16cid:durableId="172839483">
    <w:abstractNumId w:val="52"/>
  </w:num>
  <w:num w:numId="34" w16cid:durableId="1949923264">
    <w:abstractNumId w:val="22"/>
  </w:num>
  <w:num w:numId="35" w16cid:durableId="410086437">
    <w:abstractNumId w:val="73"/>
  </w:num>
  <w:num w:numId="36" w16cid:durableId="1143621621">
    <w:abstractNumId w:val="45"/>
  </w:num>
  <w:num w:numId="37" w16cid:durableId="861360938">
    <w:abstractNumId w:val="112"/>
  </w:num>
  <w:num w:numId="38" w16cid:durableId="1161849817">
    <w:abstractNumId w:val="33"/>
  </w:num>
  <w:num w:numId="39" w16cid:durableId="649402005">
    <w:abstractNumId w:val="91"/>
  </w:num>
  <w:num w:numId="40" w16cid:durableId="112017210">
    <w:abstractNumId w:val="15"/>
  </w:num>
  <w:num w:numId="41" w16cid:durableId="1753962671">
    <w:abstractNumId w:val="90"/>
  </w:num>
  <w:num w:numId="42" w16cid:durableId="584921204">
    <w:abstractNumId w:val="4"/>
  </w:num>
  <w:num w:numId="43" w16cid:durableId="1016733504">
    <w:abstractNumId w:val="61"/>
  </w:num>
  <w:num w:numId="44" w16cid:durableId="291373947">
    <w:abstractNumId w:val="82"/>
  </w:num>
  <w:num w:numId="45" w16cid:durableId="432408357">
    <w:abstractNumId w:val="41"/>
  </w:num>
  <w:num w:numId="46" w16cid:durableId="1144471747">
    <w:abstractNumId w:val="19"/>
  </w:num>
  <w:num w:numId="47" w16cid:durableId="1746754395">
    <w:abstractNumId w:val="3"/>
  </w:num>
  <w:num w:numId="48" w16cid:durableId="911739973">
    <w:abstractNumId w:val="13"/>
  </w:num>
  <w:num w:numId="49" w16cid:durableId="675426836">
    <w:abstractNumId w:val="26"/>
  </w:num>
  <w:num w:numId="50" w16cid:durableId="980963466">
    <w:abstractNumId w:val="31"/>
  </w:num>
  <w:num w:numId="51" w16cid:durableId="630789293">
    <w:abstractNumId w:val="49"/>
  </w:num>
  <w:num w:numId="52" w16cid:durableId="693116705">
    <w:abstractNumId w:val="87"/>
  </w:num>
  <w:num w:numId="53" w16cid:durableId="560408667">
    <w:abstractNumId w:val="5"/>
  </w:num>
  <w:num w:numId="54" w16cid:durableId="638262478">
    <w:abstractNumId w:val="88"/>
  </w:num>
  <w:num w:numId="55" w16cid:durableId="15813499">
    <w:abstractNumId w:val="10"/>
  </w:num>
  <w:num w:numId="56" w16cid:durableId="2110348199">
    <w:abstractNumId w:val="29"/>
  </w:num>
  <w:num w:numId="57" w16cid:durableId="1945306873">
    <w:abstractNumId w:val="0"/>
  </w:num>
  <w:num w:numId="58" w16cid:durableId="1370914760">
    <w:abstractNumId w:val="100"/>
  </w:num>
  <w:num w:numId="59" w16cid:durableId="549729546">
    <w:abstractNumId w:val="77"/>
  </w:num>
  <w:num w:numId="60" w16cid:durableId="1997878263">
    <w:abstractNumId w:val="39"/>
  </w:num>
  <w:num w:numId="61" w16cid:durableId="1108089232">
    <w:abstractNumId w:val="60"/>
  </w:num>
  <w:num w:numId="62" w16cid:durableId="460079782">
    <w:abstractNumId w:val="32"/>
  </w:num>
  <w:num w:numId="63" w16cid:durableId="35400243">
    <w:abstractNumId w:val="114"/>
  </w:num>
  <w:num w:numId="64" w16cid:durableId="10669993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6678947">
    <w:abstractNumId w:val="84"/>
  </w:num>
  <w:num w:numId="66" w16cid:durableId="627704380">
    <w:abstractNumId w:val="98"/>
  </w:num>
  <w:num w:numId="67" w16cid:durableId="970213761">
    <w:abstractNumId w:val="71"/>
  </w:num>
  <w:num w:numId="68" w16cid:durableId="1668433430">
    <w:abstractNumId w:val="9"/>
  </w:num>
  <w:num w:numId="69" w16cid:durableId="271281103">
    <w:abstractNumId w:val="75"/>
  </w:num>
  <w:num w:numId="70" w16cid:durableId="749232664">
    <w:abstractNumId w:val="44"/>
  </w:num>
  <w:num w:numId="71" w16cid:durableId="1570647711">
    <w:abstractNumId w:val="79"/>
  </w:num>
  <w:num w:numId="72" w16cid:durableId="14963515">
    <w:abstractNumId w:val="97"/>
  </w:num>
  <w:num w:numId="73" w16cid:durableId="140583723">
    <w:abstractNumId w:val="89"/>
  </w:num>
  <w:num w:numId="74" w16cid:durableId="52822580">
    <w:abstractNumId w:val="102"/>
  </w:num>
  <w:num w:numId="75" w16cid:durableId="592130594">
    <w:abstractNumId w:val="93"/>
  </w:num>
  <w:num w:numId="76" w16cid:durableId="1797942068">
    <w:abstractNumId w:val="69"/>
  </w:num>
  <w:num w:numId="77" w16cid:durableId="736823608">
    <w:abstractNumId w:val="57"/>
  </w:num>
  <w:num w:numId="78" w16cid:durableId="481309475">
    <w:abstractNumId w:val="43"/>
  </w:num>
  <w:num w:numId="79" w16cid:durableId="1454405520">
    <w:abstractNumId w:val="8"/>
  </w:num>
  <w:num w:numId="80" w16cid:durableId="200822205">
    <w:abstractNumId w:val="107"/>
  </w:num>
  <w:num w:numId="81" w16cid:durableId="741105655">
    <w:abstractNumId w:val="85"/>
  </w:num>
  <w:num w:numId="82" w16cid:durableId="2087069609">
    <w:abstractNumId w:val="47"/>
  </w:num>
  <w:num w:numId="83" w16cid:durableId="1940673340">
    <w:abstractNumId w:val="103"/>
  </w:num>
  <w:num w:numId="84" w16cid:durableId="698818510">
    <w:abstractNumId w:val="2"/>
  </w:num>
  <w:num w:numId="85" w16cid:durableId="797649479">
    <w:abstractNumId w:val="1"/>
  </w:num>
  <w:num w:numId="86" w16cid:durableId="1523744551">
    <w:abstractNumId w:val="55"/>
  </w:num>
  <w:num w:numId="87" w16cid:durableId="2441872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9894140">
    <w:abstractNumId w:val="49"/>
  </w:num>
  <w:num w:numId="89" w16cid:durableId="748845292">
    <w:abstractNumId w:val="24"/>
  </w:num>
  <w:num w:numId="90" w16cid:durableId="2124961867">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306395578">
    <w:abstractNumId w:val="25"/>
  </w:num>
  <w:num w:numId="92" w16cid:durableId="1291981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3080317">
    <w:abstractNumId w:val="16"/>
  </w:num>
  <w:num w:numId="94" w16cid:durableId="306975239">
    <w:abstractNumId w:val="72"/>
  </w:num>
  <w:num w:numId="95" w16cid:durableId="339746640">
    <w:abstractNumId w:val="50"/>
  </w:num>
  <w:num w:numId="96" w16cid:durableId="153032383">
    <w:abstractNumId w:val="109"/>
  </w:num>
  <w:num w:numId="97" w16cid:durableId="1354266550">
    <w:abstractNumId w:val="6"/>
  </w:num>
  <w:num w:numId="98" w16cid:durableId="1269503501">
    <w:abstractNumId w:val="42"/>
  </w:num>
  <w:num w:numId="99" w16cid:durableId="747386306">
    <w:abstractNumId w:val="64"/>
  </w:num>
  <w:num w:numId="100" w16cid:durableId="2091189982">
    <w:abstractNumId w:val="36"/>
  </w:num>
  <w:num w:numId="101" w16cid:durableId="1772697072">
    <w:abstractNumId w:val="76"/>
  </w:num>
  <w:num w:numId="102" w16cid:durableId="1553540493">
    <w:abstractNumId w:val="34"/>
  </w:num>
  <w:num w:numId="103" w16cid:durableId="1700618612">
    <w:abstractNumId w:val="92"/>
  </w:num>
  <w:num w:numId="104" w16cid:durableId="1792043838">
    <w:abstractNumId w:val="40"/>
  </w:num>
  <w:num w:numId="105" w16cid:durableId="1348870411">
    <w:abstractNumId w:val="80"/>
  </w:num>
  <w:num w:numId="106" w16cid:durableId="8793217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5707704">
    <w:abstractNumId w:val="105"/>
  </w:num>
  <w:num w:numId="108" w16cid:durableId="1375498550">
    <w:abstractNumId w:val="59"/>
  </w:num>
  <w:num w:numId="109" w16cid:durableId="1288851438">
    <w:abstractNumId w:val="58"/>
  </w:num>
  <w:num w:numId="110" w16cid:durableId="6947677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8827790">
    <w:abstractNumId w:val="28"/>
  </w:num>
  <w:num w:numId="112" w16cid:durableId="661389772">
    <w:abstractNumId w:val="94"/>
  </w:num>
  <w:num w:numId="113" w16cid:durableId="1191531576">
    <w:abstractNumId w:val="111"/>
  </w:num>
  <w:num w:numId="114" w16cid:durableId="551581852">
    <w:abstractNumId w:val="18"/>
  </w:num>
  <w:num w:numId="115" w16cid:durableId="157964232">
    <w:abstractNumId w:val="11"/>
  </w:num>
  <w:num w:numId="116" w16cid:durableId="217908607">
    <w:abstractNumId w:val="18"/>
  </w:num>
  <w:num w:numId="117" w16cid:durableId="1809858805">
    <w:abstractNumId w:val="11"/>
  </w:num>
  <w:num w:numId="118" w16cid:durableId="1199320513">
    <w:abstractNumId w:val="111"/>
  </w:num>
  <w:num w:numId="119" w16cid:durableId="1348217523">
    <w:abstractNumId w:val="78"/>
  </w:num>
  <w:num w:numId="120" w16cid:durableId="1688797742">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17AC4EED-28AD-45C7-8B82-1784C00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6F88-9254-4338-9759-BE34CCE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144</Pages>
  <Words>35325</Words>
  <Characters>201355</Characters>
  <Application>Microsoft Office Word</Application>
  <DocSecurity>0</DocSecurity>
  <Lines>1677</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14</cp:revision>
  <cp:lastPrinted>2021-06-22T11:53:00Z</cp:lastPrinted>
  <dcterms:created xsi:type="dcterms:W3CDTF">2023-04-09T13:24:00Z</dcterms:created>
  <dcterms:modified xsi:type="dcterms:W3CDTF">2023-07-20T17:07:00Z</dcterms:modified>
</cp:coreProperties>
</file>